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94F0C" w14:textId="77777777" w:rsidR="005E5B2F" w:rsidRPr="00AE064D" w:rsidRDefault="005E5B2F" w:rsidP="00713150">
      <w:pPr>
        <w:spacing w:after="0" w:line="240" w:lineRule="auto"/>
        <w:jc w:val="center"/>
        <w:rPr>
          <w:rFonts w:ascii="Arial" w:eastAsia="Times New Roman" w:hAnsi="Arial" w:cs="Arial"/>
          <w:b/>
          <w:i/>
          <w:iCs/>
          <w:sz w:val="28"/>
          <w:szCs w:val="24"/>
          <w:lang w:eastAsia="es-EC"/>
        </w:rPr>
      </w:pPr>
    </w:p>
    <w:p w14:paraId="067C8D06" w14:textId="1926B1C5" w:rsidR="00713150" w:rsidRPr="00AE064D" w:rsidRDefault="00AE064D" w:rsidP="00713150">
      <w:pPr>
        <w:spacing w:after="0" w:line="240" w:lineRule="auto"/>
        <w:jc w:val="center"/>
        <w:rPr>
          <w:rFonts w:ascii="Arial" w:eastAsia="Times New Roman" w:hAnsi="Arial" w:cs="Arial"/>
          <w:b/>
          <w:i/>
          <w:iCs/>
          <w:sz w:val="28"/>
          <w:szCs w:val="24"/>
          <w:lang w:eastAsia="es-EC"/>
        </w:rPr>
      </w:pPr>
      <w:r w:rsidRPr="00AE064D">
        <w:rPr>
          <w:rFonts w:ascii="Arial" w:eastAsia="Times New Roman" w:hAnsi="Arial" w:cs="Arial"/>
          <w:b/>
          <w:i/>
          <w:iCs/>
          <w:sz w:val="28"/>
          <w:szCs w:val="24"/>
          <w:lang w:val="es-EC" w:eastAsia="es-EC"/>
        </w:rPr>
        <w:t>CONSUMO DE SUSTANCIAS PSICOESTIMULANTES EN ESTUDIANTES UNIVERSITARIOS</w:t>
      </w:r>
    </w:p>
    <w:p w14:paraId="733ADA12" w14:textId="77777777" w:rsidR="00713150" w:rsidRPr="00AE064D" w:rsidRDefault="00713150" w:rsidP="00713150">
      <w:pPr>
        <w:spacing w:after="0" w:line="240" w:lineRule="auto"/>
        <w:jc w:val="center"/>
        <w:rPr>
          <w:rFonts w:ascii="Arial" w:eastAsia="Times New Roman" w:hAnsi="Arial" w:cs="Arial"/>
          <w:b/>
          <w:i/>
          <w:iCs/>
          <w:sz w:val="32"/>
          <w:szCs w:val="28"/>
          <w:lang w:eastAsia="es-EC"/>
        </w:rPr>
      </w:pPr>
    </w:p>
    <w:p w14:paraId="33CCDBE7" w14:textId="77777777" w:rsidR="00713150" w:rsidRPr="00AE064D" w:rsidRDefault="00713150" w:rsidP="00713150">
      <w:pPr>
        <w:spacing w:after="0" w:line="240" w:lineRule="auto"/>
        <w:jc w:val="center"/>
        <w:rPr>
          <w:rFonts w:ascii="Arial" w:eastAsia="Times New Roman" w:hAnsi="Arial" w:cs="Arial"/>
          <w:b/>
          <w:i/>
          <w:iCs/>
          <w:sz w:val="28"/>
          <w:szCs w:val="24"/>
          <w:lang w:eastAsia="es-EC"/>
        </w:rPr>
      </w:pPr>
    </w:p>
    <w:p w14:paraId="338E1DD5" w14:textId="6D45A503" w:rsidR="005E5B2F" w:rsidRPr="00CC2BB3" w:rsidRDefault="008346F9" w:rsidP="005E5B2F">
      <w:pPr>
        <w:pStyle w:val="Standard"/>
        <w:jc w:val="center"/>
        <w:rPr>
          <w:rFonts w:ascii="Arial" w:eastAsia="Times New Roman" w:hAnsi="Arial" w:cs="Arial"/>
          <w:b/>
          <w:i/>
          <w:iCs/>
          <w:sz w:val="32"/>
          <w:szCs w:val="28"/>
          <w:lang w:val="en-US" w:eastAsia="es-EC"/>
        </w:rPr>
      </w:pPr>
      <w:r w:rsidRPr="00CC2BB3">
        <w:rPr>
          <w:rFonts w:ascii="Arial" w:eastAsia="Times New Roman" w:hAnsi="Arial" w:cs="Arial"/>
          <w:b/>
          <w:i/>
          <w:iCs/>
          <w:sz w:val="32"/>
          <w:szCs w:val="28"/>
          <w:lang w:val="en-US" w:eastAsia="es-EC"/>
        </w:rPr>
        <w:t>THE CONSUMPTION OF PSYCHOSTIMULANT SUBSTANCES AMONG UNIVERSITY STUDE</w:t>
      </w:r>
      <w:bookmarkStart w:id="0" w:name="_GoBack"/>
      <w:bookmarkEnd w:id="0"/>
      <w:r w:rsidRPr="00CC2BB3">
        <w:rPr>
          <w:rFonts w:ascii="Arial" w:eastAsia="Times New Roman" w:hAnsi="Arial" w:cs="Arial"/>
          <w:b/>
          <w:i/>
          <w:iCs/>
          <w:sz w:val="32"/>
          <w:szCs w:val="28"/>
          <w:lang w:val="en-US" w:eastAsia="es-EC"/>
        </w:rPr>
        <w:t>NTS</w:t>
      </w:r>
    </w:p>
    <w:p w14:paraId="17D31385" w14:textId="37F57A59" w:rsidR="001B13B6" w:rsidRPr="00AE064D" w:rsidRDefault="001B13B6" w:rsidP="001B13B6">
      <w:pPr>
        <w:pStyle w:val="Standard"/>
        <w:jc w:val="center"/>
        <w:rPr>
          <w:rFonts w:ascii="Arial" w:eastAsia="Times New Roman" w:hAnsi="Arial" w:cs="Arial"/>
          <w:b/>
          <w:i/>
          <w:kern w:val="0"/>
          <w:sz w:val="32"/>
          <w:szCs w:val="32"/>
          <w:lang w:val="en" w:eastAsia="es-CR" w:bidi="ar-SA"/>
        </w:rPr>
      </w:pPr>
    </w:p>
    <w:p w14:paraId="397E9198" w14:textId="77777777" w:rsidR="00AE064D" w:rsidRPr="00AE064D" w:rsidRDefault="00AE064D" w:rsidP="00AE064D">
      <w:pPr>
        <w:autoSpaceDE w:val="0"/>
        <w:autoSpaceDN w:val="0"/>
        <w:adjustRightInd w:val="0"/>
        <w:spacing w:after="0" w:line="240" w:lineRule="auto"/>
        <w:jc w:val="center"/>
        <w:rPr>
          <w:rFonts w:ascii="Arial" w:eastAsia="Calibri" w:hAnsi="Arial" w:cs="Arial"/>
          <w:b/>
          <w:iCs/>
          <w:szCs w:val="24"/>
          <w:vertAlign w:val="superscript"/>
        </w:rPr>
      </w:pPr>
      <w:bookmarkStart w:id="1" w:name="_Hlk12964988"/>
      <w:r w:rsidRPr="00AE064D">
        <w:rPr>
          <w:rFonts w:ascii="Arial" w:eastAsia="Calibri" w:hAnsi="Arial" w:cs="Arial"/>
          <w:b/>
          <w:iCs/>
          <w:sz w:val="24"/>
          <w:szCs w:val="24"/>
        </w:rPr>
        <w:t>Jeimmy Pamela Rubio Barrera</w:t>
      </w:r>
      <w:r w:rsidRPr="00CC2BB3">
        <w:rPr>
          <w:rStyle w:val="Refdenotaalpie"/>
          <w:rFonts w:ascii="Arial" w:eastAsia="Calibri" w:hAnsi="Arial" w:cs="Arial"/>
          <w:iCs/>
          <w:szCs w:val="24"/>
        </w:rPr>
        <w:footnoteReference w:id="1"/>
      </w:r>
    </w:p>
    <w:p w14:paraId="47A441EB" w14:textId="77777777" w:rsidR="00AE064D" w:rsidRPr="00AE064D" w:rsidRDefault="00AE064D" w:rsidP="00AE064D">
      <w:pPr>
        <w:autoSpaceDE w:val="0"/>
        <w:autoSpaceDN w:val="0"/>
        <w:adjustRightInd w:val="0"/>
        <w:spacing w:after="0" w:line="240" w:lineRule="auto"/>
        <w:jc w:val="center"/>
        <w:rPr>
          <w:rFonts w:ascii="Arial" w:eastAsia="Calibri" w:hAnsi="Arial" w:cs="Arial"/>
          <w:b/>
          <w:iCs/>
          <w:szCs w:val="24"/>
          <w:vertAlign w:val="superscript"/>
        </w:rPr>
      </w:pPr>
      <w:r w:rsidRPr="00AE064D">
        <w:rPr>
          <w:rFonts w:ascii="Arial" w:eastAsia="Calibri" w:hAnsi="Arial" w:cs="Arial"/>
          <w:b/>
          <w:iCs/>
          <w:sz w:val="24"/>
          <w:szCs w:val="24"/>
        </w:rPr>
        <w:t>Lorena Maribel Chicaiza Jácome</w:t>
      </w:r>
      <w:r w:rsidRPr="00CC2BB3">
        <w:rPr>
          <w:rStyle w:val="Refdenotaalpie"/>
          <w:rFonts w:ascii="Arial" w:eastAsia="Calibri" w:hAnsi="Arial" w:cs="Arial"/>
          <w:iCs/>
          <w:szCs w:val="24"/>
        </w:rPr>
        <w:footnoteReference w:id="2"/>
      </w:r>
    </w:p>
    <w:p w14:paraId="0381BC13" w14:textId="19DAFE5E" w:rsidR="00AE064D" w:rsidRPr="00AE064D" w:rsidRDefault="00AE064D" w:rsidP="00AE064D">
      <w:pPr>
        <w:autoSpaceDE w:val="0"/>
        <w:autoSpaceDN w:val="0"/>
        <w:adjustRightInd w:val="0"/>
        <w:spacing w:after="0" w:line="240" w:lineRule="auto"/>
        <w:jc w:val="center"/>
        <w:rPr>
          <w:rFonts w:ascii="Arial" w:eastAsia="Calibri" w:hAnsi="Arial" w:cs="Arial"/>
          <w:b/>
          <w:iCs/>
          <w:szCs w:val="24"/>
        </w:rPr>
      </w:pPr>
      <w:r w:rsidRPr="00AE064D">
        <w:rPr>
          <w:rFonts w:ascii="Arial" w:eastAsia="Calibri" w:hAnsi="Arial" w:cs="Arial"/>
          <w:b/>
          <w:iCs/>
          <w:sz w:val="24"/>
          <w:szCs w:val="24"/>
        </w:rPr>
        <w:t xml:space="preserve">Imelda </w:t>
      </w:r>
      <w:r w:rsidR="008346F9">
        <w:rPr>
          <w:rFonts w:ascii="Arial" w:eastAsia="Calibri" w:hAnsi="Arial" w:cs="Arial"/>
          <w:b/>
          <w:iCs/>
          <w:sz w:val="24"/>
          <w:szCs w:val="24"/>
        </w:rPr>
        <w:t xml:space="preserve">del Socorro </w:t>
      </w:r>
      <w:r w:rsidRPr="00AE064D">
        <w:rPr>
          <w:rFonts w:ascii="Arial" w:eastAsia="Calibri" w:hAnsi="Arial" w:cs="Arial"/>
          <w:b/>
          <w:iCs/>
          <w:sz w:val="24"/>
          <w:szCs w:val="24"/>
        </w:rPr>
        <w:t xml:space="preserve">Villota </w:t>
      </w:r>
      <w:proofErr w:type="spellStart"/>
      <w:r w:rsidRPr="00AE064D">
        <w:rPr>
          <w:rFonts w:ascii="Arial" w:eastAsia="Calibri" w:hAnsi="Arial" w:cs="Arial"/>
          <w:b/>
          <w:iCs/>
          <w:sz w:val="24"/>
          <w:szCs w:val="24"/>
        </w:rPr>
        <w:t>Villota</w:t>
      </w:r>
      <w:proofErr w:type="spellEnd"/>
      <w:r w:rsidRPr="00CC2BB3">
        <w:rPr>
          <w:rStyle w:val="Refdenotaalpie"/>
          <w:rFonts w:ascii="Arial" w:eastAsia="Calibri" w:hAnsi="Arial" w:cs="Arial"/>
          <w:iCs/>
          <w:szCs w:val="24"/>
        </w:rPr>
        <w:footnoteReference w:id="3"/>
      </w:r>
    </w:p>
    <w:p w14:paraId="47E77D28" w14:textId="2318E75E" w:rsidR="00713150" w:rsidRPr="00CC2BB3" w:rsidRDefault="00AE064D" w:rsidP="00AE064D">
      <w:pPr>
        <w:spacing w:after="0" w:line="240" w:lineRule="auto"/>
        <w:jc w:val="center"/>
        <w:rPr>
          <w:rFonts w:ascii="Arial" w:eastAsia="Times New Roman" w:hAnsi="Arial" w:cs="Arial"/>
          <w:bCs/>
          <w:sz w:val="28"/>
          <w:szCs w:val="24"/>
          <w:lang w:eastAsia="es-EC"/>
        </w:rPr>
      </w:pPr>
      <w:r w:rsidRPr="00AE064D">
        <w:rPr>
          <w:rFonts w:ascii="Arial" w:eastAsia="Calibri" w:hAnsi="Arial" w:cs="Arial"/>
          <w:b/>
          <w:iCs/>
          <w:sz w:val="24"/>
          <w:szCs w:val="24"/>
        </w:rPr>
        <w:t>Ramiro Rojas Jaramillo</w:t>
      </w:r>
      <w:r w:rsidRPr="00CC2BB3">
        <w:rPr>
          <w:rStyle w:val="Refdenotaalpie"/>
          <w:rFonts w:ascii="Arial" w:eastAsia="Calibri" w:hAnsi="Arial" w:cs="Arial"/>
          <w:iCs/>
          <w:szCs w:val="24"/>
        </w:rPr>
        <w:footnoteReference w:id="4"/>
      </w:r>
    </w:p>
    <w:bookmarkEnd w:id="1"/>
    <w:p w14:paraId="17A09A7A" w14:textId="77777777" w:rsidR="004D051F" w:rsidRPr="00CC2BB3" w:rsidRDefault="004D051F" w:rsidP="00F51C50">
      <w:pPr>
        <w:pStyle w:val="Standard"/>
        <w:jc w:val="center"/>
        <w:rPr>
          <w:rFonts w:ascii="Arial" w:hAnsi="Arial" w:cs="Arial"/>
          <w:b/>
          <w:bCs/>
          <w:lang w:val="es-EC"/>
        </w:rPr>
      </w:pPr>
    </w:p>
    <w:p w14:paraId="64AF5ADB" w14:textId="77777777" w:rsidR="00774B5F" w:rsidRPr="00CC2BB3" w:rsidRDefault="00774B5F" w:rsidP="00774B5F">
      <w:pPr>
        <w:autoSpaceDE w:val="0"/>
        <w:autoSpaceDN w:val="0"/>
        <w:adjustRightInd w:val="0"/>
        <w:spacing w:after="0" w:line="240" w:lineRule="auto"/>
        <w:jc w:val="both"/>
        <w:rPr>
          <w:rFonts w:ascii="Arial" w:hAnsi="Arial" w:cs="Arial"/>
          <w:sz w:val="24"/>
          <w:szCs w:val="24"/>
          <w:lang w:val="es-EC"/>
        </w:rPr>
      </w:pPr>
    </w:p>
    <w:p w14:paraId="363D7886" w14:textId="5920D2C6" w:rsidR="00D221A9" w:rsidRPr="00AE064D" w:rsidRDefault="00D221A9" w:rsidP="007551FD">
      <w:pPr>
        <w:autoSpaceDE w:val="0"/>
        <w:autoSpaceDN w:val="0"/>
        <w:adjustRightInd w:val="0"/>
        <w:spacing w:after="0" w:line="240" w:lineRule="auto"/>
        <w:jc w:val="center"/>
        <w:rPr>
          <w:rFonts w:ascii="Arial" w:hAnsi="Arial" w:cs="Arial"/>
          <w:sz w:val="18"/>
          <w:szCs w:val="18"/>
        </w:rPr>
      </w:pPr>
      <w:r w:rsidRPr="00AE064D">
        <w:rPr>
          <w:rFonts w:ascii="Arial" w:hAnsi="Arial" w:cs="Arial"/>
          <w:b/>
          <w:bCs/>
          <w:sz w:val="18"/>
          <w:szCs w:val="18"/>
        </w:rPr>
        <w:t xml:space="preserve">Recibido: </w:t>
      </w:r>
      <w:r w:rsidRPr="00AE064D">
        <w:rPr>
          <w:rFonts w:ascii="Arial" w:hAnsi="Arial" w:cs="Arial"/>
          <w:sz w:val="18"/>
          <w:szCs w:val="18"/>
        </w:rPr>
        <w:t>201</w:t>
      </w:r>
      <w:r w:rsidR="001B13B6" w:rsidRPr="00AE064D">
        <w:rPr>
          <w:rFonts w:ascii="Arial" w:hAnsi="Arial" w:cs="Arial"/>
          <w:sz w:val="18"/>
          <w:szCs w:val="18"/>
        </w:rPr>
        <w:t>9</w:t>
      </w:r>
      <w:r w:rsidRPr="00AE064D">
        <w:rPr>
          <w:rFonts w:ascii="Arial" w:hAnsi="Arial" w:cs="Arial"/>
          <w:sz w:val="18"/>
          <w:szCs w:val="18"/>
        </w:rPr>
        <w:t>-</w:t>
      </w:r>
      <w:r w:rsidR="00713150" w:rsidRPr="00AE064D">
        <w:rPr>
          <w:rFonts w:ascii="Arial" w:hAnsi="Arial" w:cs="Arial"/>
          <w:sz w:val="18"/>
          <w:szCs w:val="18"/>
        </w:rPr>
        <w:t>0</w:t>
      </w:r>
      <w:r w:rsidR="00AE064D" w:rsidRPr="00AE064D">
        <w:rPr>
          <w:rFonts w:ascii="Arial" w:hAnsi="Arial" w:cs="Arial"/>
          <w:sz w:val="18"/>
          <w:szCs w:val="18"/>
        </w:rPr>
        <w:t>2</w:t>
      </w:r>
      <w:r w:rsidR="004F2D1C" w:rsidRPr="00AE064D">
        <w:rPr>
          <w:rFonts w:ascii="Arial" w:hAnsi="Arial" w:cs="Arial"/>
          <w:sz w:val="18"/>
          <w:szCs w:val="18"/>
        </w:rPr>
        <w:t>-</w:t>
      </w:r>
      <w:r w:rsidR="00AE064D" w:rsidRPr="00AE064D">
        <w:rPr>
          <w:rFonts w:ascii="Arial" w:hAnsi="Arial" w:cs="Arial"/>
          <w:sz w:val="18"/>
          <w:szCs w:val="18"/>
        </w:rPr>
        <w:t>05</w:t>
      </w:r>
      <w:r w:rsidRPr="00AE064D">
        <w:rPr>
          <w:rFonts w:ascii="Arial" w:hAnsi="Arial" w:cs="Arial"/>
          <w:sz w:val="18"/>
          <w:szCs w:val="18"/>
        </w:rPr>
        <w:t xml:space="preserve"> / </w:t>
      </w:r>
      <w:r w:rsidRPr="00AE064D">
        <w:rPr>
          <w:rFonts w:ascii="Arial" w:hAnsi="Arial" w:cs="Arial"/>
          <w:b/>
          <w:sz w:val="18"/>
          <w:szCs w:val="18"/>
        </w:rPr>
        <w:t>Revisado</w:t>
      </w:r>
      <w:r w:rsidRPr="00AE064D">
        <w:rPr>
          <w:rFonts w:ascii="Arial" w:hAnsi="Arial" w:cs="Arial"/>
          <w:sz w:val="18"/>
          <w:szCs w:val="18"/>
        </w:rPr>
        <w:t>: 201</w:t>
      </w:r>
      <w:r w:rsidR="001B13B6" w:rsidRPr="00AE064D">
        <w:rPr>
          <w:rFonts w:ascii="Arial" w:hAnsi="Arial" w:cs="Arial"/>
          <w:sz w:val="18"/>
          <w:szCs w:val="18"/>
        </w:rPr>
        <w:t>9</w:t>
      </w:r>
      <w:r w:rsidRPr="00AE064D">
        <w:rPr>
          <w:rFonts w:ascii="Arial" w:hAnsi="Arial" w:cs="Arial"/>
          <w:sz w:val="18"/>
          <w:szCs w:val="18"/>
        </w:rPr>
        <w:t>-</w:t>
      </w:r>
      <w:r w:rsidR="001B13B6" w:rsidRPr="00AE064D">
        <w:rPr>
          <w:rFonts w:ascii="Arial" w:hAnsi="Arial" w:cs="Arial"/>
          <w:sz w:val="18"/>
          <w:szCs w:val="18"/>
        </w:rPr>
        <w:t>0</w:t>
      </w:r>
      <w:r w:rsidR="00713150" w:rsidRPr="00AE064D">
        <w:rPr>
          <w:rFonts w:ascii="Arial" w:hAnsi="Arial" w:cs="Arial"/>
          <w:sz w:val="18"/>
          <w:szCs w:val="18"/>
        </w:rPr>
        <w:t>3-</w:t>
      </w:r>
      <w:r w:rsidR="00AE064D" w:rsidRPr="00AE064D">
        <w:rPr>
          <w:rFonts w:ascii="Arial" w:hAnsi="Arial" w:cs="Arial"/>
          <w:sz w:val="18"/>
          <w:szCs w:val="18"/>
        </w:rPr>
        <w:t>03</w:t>
      </w:r>
      <w:r w:rsidRPr="00AE064D">
        <w:rPr>
          <w:rFonts w:ascii="Arial" w:hAnsi="Arial" w:cs="Arial"/>
          <w:sz w:val="18"/>
          <w:szCs w:val="18"/>
        </w:rPr>
        <w:t xml:space="preserve"> / </w:t>
      </w:r>
      <w:r w:rsidRPr="00AE064D">
        <w:rPr>
          <w:rFonts w:ascii="Arial" w:hAnsi="Arial" w:cs="Arial"/>
          <w:b/>
          <w:bCs/>
          <w:sz w:val="18"/>
          <w:szCs w:val="18"/>
        </w:rPr>
        <w:t xml:space="preserve">Aceptado: </w:t>
      </w:r>
      <w:r w:rsidRPr="00AE064D">
        <w:rPr>
          <w:rFonts w:ascii="Arial" w:hAnsi="Arial" w:cs="Arial"/>
          <w:sz w:val="18"/>
          <w:szCs w:val="18"/>
        </w:rPr>
        <w:t>201</w:t>
      </w:r>
      <w:r w:rsidR="001B13B6" w:rsidRPr="00AE064D">
        <w:rPr>
          <w:rFonts w:ascii="Arial" w:hAnsi="Arial" w:cs="Arial"/>
          <w:sz w:val="18"/>
          <w:szCs w:val="18"/>
        </w:rPr>
        <w:t>9</w:t>
      </w:r>
      <w:r w:rsidRPr="00AE064D">
        <w:rPr>
          <w:rFonts w:ascii="Arial" w:hAnsi="Arial" w:cs="Arial"/>
          <w:sz w:val="18"/>
          <w:szCs w:val="18"/>
        </w:rPr>
        <w:t>-</w:t>
      </w:r>
      <w:r w:rsidR="001B13B6" w:rsidRPr="00AE064D">
        <w:rPr>
          <w:rFonts w:ascii="Arial" w:hAnsi="Arial" w:cs="Arial"/>
          <w:sz w:val="18"/>
          <w:szCs w:val="18"/>
        </w:rPr>
        <w:t>05</w:t>
      </w:r>
      <w:r w:rsidR="00E53A3B" w:rsidRPr="00AE064D">
        <w:rPr>
          <w:rFonts w:ascii="Arial" w:hAnsi="Arial" w:cs="Arial"/>
          <w:sz w:val="18"/>
          <w:szCs w:val="18"/>
        </w:rPr>
        <w:t>-</w:t>
      </w:r>
      <w:r w:rsidR="001B13B6" w:rsidRPr="00AE064D">
        <w:rPr>
          <w:rFonts w:ascii="Arial" w:hAnsi="Arial" w:cs="Arial"/>
          <w:sz w:val="18"/>
          <w:szCs w:val="18"/>
        </w:rPr>
        <w:t>02</w:t>
      </w:r>
      <w:r w:rsidRPr="00AE064D">
        <w:rPr>
          <w:rFonts w:ascii="Arial" w:hAnsi="Arial" w:cs="Arial"/>
          <w:sz w:val="18"/>
          <w:szCs w:val="18"/>
        </w:rPr>
        <w:t xml:space="preserve"> / </w:t>
      </w:r>
      <w:r w:rsidRPr="00AE064D">
        <w:rPr>
          <w:rFonts w:ascii="Arial" w:hAnsi="Arial" w:cs="Arial"/>
          <w:b/>
          <w:bCs/>
          <w:sz w:val="18"/>
          <w:szCs w:val="18"/>
        </w:rPr>
        <w:t xml:space="preserve">Publicado: </w:t>
      </w:r>
      <w:r w:rsidRPr="00AE064D">
        <w:rPr>
          <w:rFonts w:ascii="Arial" w:hAnsi="Arial" w:cs="Arial"/>
          <w:sz w:val="18"/>
          <w:szCs w:val="18"/>
        </w:rPr>
        <w:t>201</w:t>
      </w:r>
      <w:r w:rsidR="00565B2A" w:rsidRPr="00AE064D">
        <w:rPr>
          <w:rFonts w:ascii="Arial" w:hAnsi="Arial" w:cs="Arial"/>
          <w:sz w:val="18"/>
          <w:szCs w:val="18"/>
        </w:rPr>
        <w:t>9</w:t>
      </w:r>
      <w:r w:rsidRPr="00AE064D">
        <w:rPr>
          <w:rFonts w:ascii="Arial" w:hAnsi="Arial" w:cs="Arial"/>
          <w:sz w:val="18"/>
          <w:szCs w:val="18"/>
        </w:rPr>
        <w:t>-</w:t>
      </w:r>
      <w:r w:rsidR="001B13B6" w:rsidRPr="00AE064D">
        <w:rPr>
          <w:rFonts w:ascii="Arial" w:hAnsi="Arial" w:cs="Arial"/>
          <w:sz w:val="18"/>
          <w:szCs w:val="18"/>
        </w:rPr>
        <w:t>06</w:t>
      </w:r>
      <w:r w:rsidR="00A2031A" w:rsidRPr="00AE064D">
        <w:rPr>
          <w:rFonts w:ascii="Arial" w:hAnsi="Arial" w:cs="Arial"/>
          <w:sz w:val="18"/>
          <w:szCs w:val="18"/>
        </w:rPr>
        <w:t>-</w:t>
      </w:r>
      <w:r w:rsidR="003042EB" w:rsidRPr="00AE064D">
        <w:rPr>
          <w:rFonts w:ascii="Arial" w:hAnsi="Arial" w:cs="Arial"/>
          <w:sz w:val="18"/>
          <w:szCs w:val="18"/>
        </w:rPr>
        <w:t>3</w:t>
      </w:r>
      <w:r w:rsidR="00780739" w:rsidRPr="00AE064D">
        <w:rPr>
          <w:rFonts w:ascii="Arial" w:hAnsi="Arial" w:cs="Arial"/>
          <w:sz w:val="18"/>
          <w:szCs w:val="18"/>
        </w:rPr>
        <w:t>0</w:t>
      </w:r>
    </w:p>
    <w:p w14:paraId="6F4574E8" w14:textId="05D6770F" w:rsidR="000558C0" w:rsidRPr="00AE064D" w:rsidRDefault="006008DB" w:rsidP="007551FD">
      <w:pPr>
        <w:autoSpaceDE w:val="0"/>
        <w:autoSpaceDN w:val="0"/>
        <w:adjustRightInd w:val="0"/>
        <w:spacing w:after="0" w:line="240" w:lineRule="auto"/>
        <w:jc w:val="center"/>
        <w:rPr>
          <w:rFonts w:ascii="Arial" w:hAnsi="Arial" w:cs="Arial"/>
          <w:sz w:val="18"/>
          <w:szCs w:val="18"/>
        </w:rPr>
      </w:pPr>
      <w:r w:rsidRPr="00AE064D">
        <w:rPr>
          <w:rFonts w:ascii="Arial" w:hAnsi="Arial" w:cs="Arial"/>
          <w:noProof/>
          <w:lang w:val="en-US"/>
        </w:rPr>
        <mc:AlternateContent>
          <mc:Choice Requires="wps">
            <w:drawing>
              <wp:anchor distT="0" distB="0" distL="114300" distR="114300" simplePos="0" relativeHeight="251652096" behindDoc="0" locked="0" layoutInCell="1" allowOverlap="1" wp14:anchorId="0474CE33" wp14:editId="14DA0BFC">
                <wp:simplePos x="0" y="0"/>
                <wp:positionH relativeFrom="margin">
                  <wp:align>right</wp:align>
                </wp:positionH>
                <wp:positionV relativeFrom="paragraph">
                  <wp:posOffset>58826</wp:posOffset>
                </wp:positionV>
                <wp:extent cx="5476875" cy="504749"/>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04749"/>
                        </a:xfrm>
                        <a:prstGeom prst="rect">
                          <a:avLst/>
                        </a:prstGeom>
                        <a:noFill/>
                        <a:ln w="9525">
                          <a:noFill/>
                          <a:miter lim="800000"/>
                          <a:headEnd/>
                          <a:tailEnd/>
                        </a:ln>
                      </wps:spPr>
                      <wps:txbx>
                        <w:txbxContent>
                          <w:p w14:paraId="5F234E38" w14:textId="5749846D" w:rsidR="00705A92" w:rsidRPr="00AE064D" w:rsidRDefault="00705A92" w:rsidP="000164AF">
                            <w:pPr>
                              <w:pStyle w:val="Standard"/>
                              <w:jc w:val="both"/>
                              <w:rPr>
                                <w:rFonts w:ascii="Arial" w:hAnsi="Arial" w:cs="Arial"/>
                                <w:bCs/>
                                <w:color w:val="FF0000"/>
                                <w:sz w:val="18"/>
                                <w:szCs w:val="18"/>
                                <w:lang w:bidi="ar-SA"/>
                              </w:rPr>
                            </w:pPr>
                            <w:r w:rsidRPr="00A2366E">
                              <w:rPr>
                                <w:rFonts w:ascii="Arial" w:hAnsi="Arial" w:cs="Arial"/>
                                <w:color w:val="C00000"/>
                                <w:sz w:val="18"/>
                                <w:szCs w:val="18"/>
                              </w:rPr>
                              <w:t>Forma sugerida de citar:</w:t>
                            </w:r>
                            <w:r>
                              <w:rPr>
                                <w:rFonts w:ascii="Arial" w:hAnsi="Arial" w:cs="Arial"/>
                                <w:sz w:val="18"/>
                                <w:szCs w:val="18"/>
                                <w:lang w:val="es-EC"/>
                              </w:rPr>
                              <w:t xml:space="preserve"> </w:t>
                            </w:r>
                            <w:r>
                              <w:rPr>
                                <w:rFonts w:ascii="Arial" w:eastAsiaTheme="minorHAnsi" w:hAnsi="Arial" w:cs="Arial"/>
                                <w:kern w:val="0"/>
                                <w:sz w:val="18"/>
                                <w:szCs w:val="18"/>
                                <w:lang w:val="es-ES" w:eastAsia="en-US" w:bidi="ar-SA"/>
                              </w:rPr>
                              <w:t xml:space="preserve">Rubio Barrera, Jeimmy Pamela; Chicaiza Jácome, Lorena Maribel; Villota </w:t>
                            </w:r>
                            <w:proofErr w:type="spellStart"/>
                            <w:r>
                              <w:rPr>
                                <w:rFonts w:ascii="Arial" w:eastAsiaTheme="minorHAnsi" w:hAnsi="Arial" w:cs="Arial"/>
                                <w:kern w:val="0"/>
                                <w:sz w:val="18"/>
                                <w:szCs w:val="18"/>
                                <w:lang w:val="es-ES" w:eastAsia="en-US" w:bidi="ar-SA"/>
                              </w:rPr>
                              <w:t>Villota</w:t>
                            </w:r>
                            <w:proofErr w:type="spellEnd"/>
                            <w:r>
                              <w:rPr>
                                <w:rFonts w:ascii="Arial" w:eastAsiaTheme="minorHAnsi" w:hAnsi="Arial" w:cs="Arial"/>
                                <w:kern w:val="0"/>
                                <w:sz w:val="18"/>
                                <w:szCs w:val="18"/>
                                <w:lang w:val="es-ES" w:eastAsia="en-US" w:bidi="ar-SA"/>
                              </w:rPr>
                              <w:t>, Imelda y Rojas Jaramillo, Ramiro Rogelio</w:t>
                            </w:r>
                            <w:r w:rsidRPr="008B04AC">
                              <w:rPr>
                                <w:rFonts w:ascii="Arial" w:hAnsi="Arial" w:cs="Arial"/>
                                <w:sz w:val="18"/>
                                <w:szCs w:val="18"/>
                              </w:rPr>
                              <w:t>. (201</w:t>
                            </w:r>
                            <w:r>
                              <w:rPr>
                                <w:rFonts w:ascii="Arial" w:hAnsi="Arial" w:cs="Arial"/>
                                <w:sz w:val="18"/>
                                <w:szCs w:val="18"/>
                              </w:rPr>
                              <w:t>9</w:t>
                            </w:r>
                            <w:r w:rsidRPr="008B04AC">
                              <w:rPr>
                                <w:rFonts w:ascii="Arial" w:hAnsi="Arial" w:cs="Arial"/>
                                <w:sz w:val="18"/>
                                <w:szCs w:val="18"/>
                              </w:rPr>
                              <w:t xml:space="preserve">). </w:t>
                            </w:r>
                            <w:r w:rsidR="00914F08">
                              <w:rPr>
                                <w:rFonts w:ascii="Arial" w:hAnsi="Arial" w:cs="Arial"/>
                                <w:bCs/>
                                <w:sz w:val="18"/>
                                <w:szCs w:val="18"/>
                                <w:lang w:bidi="ar-SA"/>
                              </w:rPr>
                              <w:t>Consumo de sustancias psicoestimulantes en estudiantes universitarios</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2D07">
                              <w:rPr>
                                <w:rFonts w:ascii="Arial" w:hAnsi="Arial" w:cs="Arial"/>
                                <w:sz w:val="18"/>
                                <w:szCs w:val="18"/>
                                <w:lang w:val="es-EC"/>
                              </w:rPr>
                              <w:t>Ciencia</w:t>
                            </w:r>
                            <w:r w:rsidRPr="00713150">
                              <w:rPr>
                                <w:rFonts w:ascii="Arial" w:hAnsi="Arial" w:cs="Arial"/>
                                <w:bCs/>
                                <w:sz w:val="18"/>
                                <w:szCs w:val="18"/>
                                <w:lang w:bidi="ar-SA"/>
                              </w:rPr>
                              <w:t xml:space="preserve">, 3(1), </w:t>
                            </w:r>
                            <w:r w:rsidRPr="00CC2BB3">
                              <w:rPr>
                                <w:rFonts w:ascii="Arial" w:hAnsi="Arial" w:cs="Arial"/>
                                <w:bCs/>
                                <w:sz w:val="18"/>
                                <w:szCs w:val="18"/>
                                <w:lang w:bidi="ar-SA"/>
                              </w:rPr>
                              <w:t xml:space="preserve">pp. </w:t>
                            </w:r>
                            <w:r w:rsidR="008346F9" w:rsidRPr="00CC2BB3">
                              <w:rPr>
                                <w:rFonts w:ascii="Arial" w:hAnsi="Arial" w:cs="Arial"/>
                                <w:bCs/>
                                <w:sz w:val="18"/>
                                <w:szCs w:val="18"/>
                                <w:lang w:bidi="ar-SA"/>
                              </w:rPr>
                              <w:t>67-81</w:t>
                            </w:r>
                            <w:r w:rsidRPr="00CC2BB3">
                              <w:rPr>
                                <w:rFonts w:ascii="Arial" w:hAnsi="Arial" w:cs="Arial"/>
                                <w:bCs/>
                                <w:sz w:val="18"/>
                                <w:szCs w:val="18"/>
                                <w:lang w:bidi="ar-S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380.05pt;margin-top:4.65pt;width:431.25pt;height:39.75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" filled="f" stroked="f">
                <v:textbox>
                  <w:txbxContent>
                    <w:p w14:paraId="5F234E38" w14:textId="5749846D" w:rsidR="00705A92" w:rsidRPr="00AE064D" w:rsidRDefault="00705A92" w:rsidP="000164AF">
                      <w:pPr>
                        <w:pStyle w:val="Standard"/>
                        <w:jc w:val="both"/>
                        <w:rPr>
                          <w:rFonts w:ascii="Arial" w:hAnsi="Arial" w:cs="Arial"/>
                          <w:bCs/>
                          <w:color w:val="FF0000"/>
                          <w:sz w:val="18"/>
                          <w:szCs w:val="18"/>
                          <w:lang w:bidi="ar-SA"/>
                        </w:rPr>
                      </w:pPr>
                      <w:r w:rsidRPr="00A2366E">
                        <w:rPr>
                          <w:rFonts w:ascii="Arial" w:hAnsi="Arial" w:cs="Arial"/>
                          <w:color w:val="C00000"/>
                          <w:sz w:val="18"/>
                          <w:szCs w:val="18"/>
                        </w:rPr>
                        <w:t>Forma sugerida de citar:</w:t>
                      </w:r>
                      <w:r>
                        <w:rPr>
                          <w:rFonts w:ascii="Arial" w:hAnsi="Arial" w:cs="Arial"/>
                          <w:sz w:val="18"/>
                          <w:szCs w:val="18"/>
                          <w:lang w:val="es-EC"/>
                        </w:rPr>
                        <w:t xml:space="preserve"> </w:t>
                      </w:r>
                      <w:r>
                        <w:rPr>
                          <w:rFonts w:ascii="Arial" w:eastAsiaTheme="minorHAnsi" w:hAnsi="Arial" w:cs="Arial"/>
                          <w:kern w:val="0"/>
                          <w:sz w:val="18"/>
                          <w:szCs w:val="18"/>
                          <w:lang w:val="es-ES" w:eastAsia="en-US" w:bidi="ar-SA"/>
                        </w:rPr>
                        <w:t xml:space="preserve">Rubio Barrera, Jeimmy Pamela; Chicaiza Jácome, Lorena Maribel; Villota </w:t>
                      </w:r>
                      <w:proofErr w:type="spellStart"/>
                      <w:r>
                        <w:rPr>
                          <w:rFonts w:ascii="Arial" w:eastAsiaTheme="minorHAnsi" w:hAnsi="Arial" w:cs="Arial"/>
                          <w:kern w:val="0"/>
                          <w:sz w:val="18"/>
                          <w:szCs w:val="18"/>
                          <w:lang w:val="es-ES" w:eastAsia="en-US" w:bidi="ar-SA"/>
                        </w:rPr>
                        <w:t>Villota</w:t>
                      </w:r>
                      <w:proofErr w:type="spellEnd"/>
                      <w:r>
                        <w:rPr>
                          <w:rFonts w:ascii="Arial" w:eastAsiaTheme="minorHAnsi" w:hAnsi="Arial" w:cs="Arial"/>
                          <w:kern w:val="0"/>
                          <w:sz w:val="18"/>
                          <w:szCs w:val="18"/>
                          <w:lang w:val="es-ES" w:eastAsia="en-US" w:bidi="ar-SA"/>
                        </w:rPr>
                        <w:t>, Imelda y Rojas Jaramillo, Ramiro Rogelio</w:t>
                      </w:r>
                      <w:r w:rsidRPr="008B04AC">
                        <w:rPr>
                          <w:rFonts w:ascii="Arial" w:hAnsi="Arial" w:cs="Arial"/>
                          <w:sz w:val="18"/>
                          <w:szCs w:val="18"/>
                        </w:rPr>
                        <w:t>. (201</w:t>
                      </w:r>
                      <w:r>
                        <w:rPr>
                          <w:rFonts w:ascii="Arial" w:hAnsi="Arial" w:cs="Arial"/>
                          <w:sz w:val="18"/>
                          <w:szCs w:val="18"/>
                        </w:rPr>
                        <w:t>9</w:t>
                      </w:r>
                      <w:r w:rsidRPr="008B04AC">
                        <w:rPr>
                          <w:rFonts w:ascii="Arial" w:hAnsi="Arial" w:cs="Arial"/>
                          <w:sz w:val="18"/>
                          <w:szCs w:val="18"/>
                        </w:rPr>
                        <w:t xml:space="preserve">). </w:t>
                      </w:r>
                      <w:r w:rsidR="00914F08">
                        <w:rPr>
                          <w:rFonts w:ascii="Arial" w:hAnsi="Arial" w:cs="Arial"/>
                          <w:bCs/>
                          <w:sz w:val="18"/>
                          <w:szCs w:val="18"/>
                          <w:lang w:bidi="ar-SA"/>
                        </w:rPr>
                        <w:t>Consumo de sustancias psicoestimulantes en estudiantes universitarios</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2D07">
                        <w:rPr>
                          <w:rFonts w:ascii="Arial" w:hAnsi="Arial" w:cs="Arial"/>
                          <w:sz w:val="18"/>
                          <w:szCs w:val="18"/>
                          <w:lang w:val="es-EC"/>
                        </w:rPr>
                        <w:t>Ciencia</w:t>
                      </w:r>
                      <w:r w:rsidRPr="00713150">
                        <w:rPr>
                          <w:rFonts w:ascii="Arial" w:hAnsi="Arial" w:cs="Arial"/>
                          <w:bCs/>
                          <w:sz w:val="18"/>
                          <w:szCs w:val="18"/>
                          <w:lang w:bidi="ar-SA"/>
                        </w:rPr>
                        <w:t xml:space="preserve">, 3(1), </w:t>
                      </w:r>
                      <w:r w:rsidRPr="00CC2BB3">
                        <w:rPr>
                          <w:rFonts w:ascii="Arial" w:hAnsi="Arial" w:cs="Arial"/>
                          <w:bCs/>
                          <w:sz w:val="18"/>
                          <w:szCs w:val="18"/>
                          <w:lang w:bidi="ar-SA"/>
                        </w:rPr>
                        <w:t xml:space="preserve">pp. </w:t>
                      </w:r>
                      <w:r w:rsidR="008346F9" w:rsidRPr="00CC2BB3">
                        <w:rPr>
                          <w:rFonts w:ascii="Arial" w:hAnsi="Arial" w:cs="Arial"/>
                          <w:bCs/>
                          <w:sz w:val="18"/>
                          <w:szCs w:val="18"/>
                          <w:lang w:bidi="ar-SA"/>
                        </w:rPr>
                        <w:t>67-81</w:t>
                      </w:r>
                      <w:r w:rsidRPr="00CC2BB3">
                        <w:rPr>
                          <w:rFonts w:ascii="Arial" w:hAnsi="Arial" w:cs="Arial"/>
                          <w:bCs/>
                          <w:sz w:val="18"/>
                          <w:szCs w:val="18"/>
                          <w:lang w:bidi="ar-SA"/>
                        </w:rPr>
                        <w:t>.</w:t>
                      </w:r>
                    </w:p>
                  </w:txbxContent>
                </v:textbox>
                <w10:wrap anchorx="margin"/>
              </v:shape>
            </w:pict>
          </mc:Fallback>
        </mc:AlternateContent>
      </w:r>
    </w:p>
    <w:p w14:paraId="56A2EC61" w14:textId="77777777" w:rsidR="00102F7E" w:rsidRPr="00AE064D" w:rsidRDefault="00102F7E" w:rsidP="007551FD">
      <w:pPr>
        <w:autoSpaceDE w:val="0"/>
        <w:autoSpaceDN w:val="0"/>
        <w:adjustRightInd w:val="0"/>
        <w:spacing w:after="0" w:line="240" w:lineRule="auto"/>
        <w:jc w:val="center"/>
        <w:rPr>
          <w:rFonts w:ascii="Arial" w:hAnsi="Arial" w:cs="Arial"/>
          <w:b/>
          <w:sz w:val="20"/>
          <w:szCs w:val="20"/>
        </w:rPr>
      </w:pPr>
    </w:p>
    <w:p w14:paraId="43532812" w14:textId="77777777" w:rsidR="00102F7E" w:rsidRPr="00AE064D" w:rsidRDefault="00102F7E" w:rsidP="007551FD">
      <w:pPr>
        <w:autoSpaceDE w:val="0"/>
        <w:autoSpaceDN w:val="0"/>
        <w:adjustRightInd w:val="0"/>
        <w:spacing w:after="0" w:line="240" w:lineRule="auto"/>
        <w:jc w:val="center"/>
        <w:rPr>
          <w:rFonts w:ascii="Arial" w:hAnsi="Arial" w:cs="Arial"/>
          <w:b/>
          <w:sz w:val="20"/>
          <w:szCs w:val="20"/>
        </w:rPr>
      </w:pPr>
    </w:p>
    <w:p w14:paraId="6835046B" w14:textId="6303EE4E" w:rsidR="001B0901" w:rsidRPr="00AE064D" w:rsidRDefault="00914F08" w:rsidP="00D22D07">
      <w:pPr>
        <w:spacing w:after="0" w:line="240" w:lineRule="auto"/>
        <w:jc w:val="both"/>
        <w:rPr>
          <w:rFonts w:ascii="Arial" w:hAnsi="Arial" w:cs="Arial"/>
          <w:b/>
        </w:rPr>
      </w:pPr>
      <w:r w:rsidRPr="00AE064D">
        <w:rPr>
          <w:rFonts w:ascii="Arial" w:hAnsi="Arial" w:cs="Arial"/>
          <w:b/>
          <w:bCs/>
          <w:noProof/>
          <w:sz w:val="26"/>
          <w:szCs w:val="26"/>
          <w:lang w:val="en-US"/>
        </w:rPr>
        <mc:AlternateContent>
          <mc:Choice Requires="wps">
            <w:drawing>
              <wp:anchor distT="0" distB="0" distL="114300" distR="114300" simplePos="0" relativeHeight="251648512" behindDoc="0" locked="0" layoutInCell="1" allowOverlap="1" wp14:anchorId="61A92C6D" wp14:editId="317FEC1B">
                <wp:simplePos x="0" y="0"/>
                <wp:positionH relativeFrom="margin">
                  <wp:posOffset>-635</wp:posOffset>
                </wp:positionH>
                <wp:positionV relativeFrom="paragraph">
                  <wp:posOffset>149530</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5EEA40" id="1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11.75pt" to="425.2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" strokecolor="#bc4542 [3045]">
                <w10:wrap anchorx="margin"/>
              </v:line>
            </w:pict>
          </mc:Fallback>
        </mc:AlternateContent>
      </w:r>
    </w:p>
    <w:p w14:paraId="2C29B5C0" w14:textId="240B5D38" w:rsidR="00AE064D" w:rsidRPr="00AE064D" w:rsidRDefault="00116AB0" w:rsidP="00AE064D">
      <w:pPr>
        <w:autoSpaceDE w:val="0"/>
        <w:autoSpaceDN w:val="0"/>
        <w:adjustRightInd w:val="0"/>
        <w:spacing w:after="0" w:line="240" w:lineRule="auto"/>
        <w:jc w:val="both"/>
        <w:rPr>
          <w:rFonts w:ascii="Arial" w:eastAsia="Calibri" w:hAnsi="Arial" w:cs="Arial"/>
          <w:b/>
          <w:sz w:val="24"/>
          <w:szCs w:val="24"/>
          <w:lang w:val="es-EC"/>
        </w:rPr>
      </w:pPr>
      <w:r w:rsidRPr="00AE064D">
        <w:rPr>
          <w:rFonts w:ascii="Arial" w:eastAsia="Calibri" w:hAnsi="Arial" w:cs="Arial"/>
          <w:b/>
          <w:sz w:val="24"/>
          <w:szCs w:val="24"/>
          <w:lang w:val="es-EC"/>
        </w:rPr>
        <w:t xml:space="preserve"> </w:t>
      </w:r>
      <w:r w:rsidR="007314B4" w:rsidRPr="00AE064D">
        <w:rPr>
          <w:rFonts w:ascii="Arial" w:eastAsia="Calibri" w:hAnsi="Arial" w:cs="Arial"/>
          <w:b/>
          <w:sz w:val="24"/>
          <w:szCs w:val="24"/>
          <w:lang w:val="es-EC"/>
        </w:rPr>
        <w:tab/>
      </w:r>
    </w:p>
    <w:p w14:paraId="2D8026AD" w14:textId="08AD51B1" w:rsidR="00AE064D" w:rsidRPr="00914F08" w:rsidRDefault="00AE064D" w:rsidP="00AE064D">
      <w:pPr>
        <w:autoSpaceDE w:val="0"/>
        <w:autoSpaceDN w:val="0"/>
        <w:adjustRightInd w:val="0"/>
        <w:spacing w:after="0" w:line="240" w:lineRule="auto"/>
        <w:jc w:val="both"/>
        <w:rPr>
          <w:rFonts w:ascii="Arial" w:eastAsia="Calibri" w:hAnsi="Arial" w:cs="Arial"/>
          <w:b/>
          <w:iCs/>
          <w:sz w:val="24"/>
          <w:szCs w:val="24"/>
        </w:rPr>
      </w:pPr>
      <w:r w:rsidRPr="00914F08">
        <w:rPr>
          <w:rFonts w:ascii="Arial" w:eastAsia="Calibri" w:hAnsi="Arial" w:cs="Arial"/>
          <w:b/>
          <w:iCs/>
          <w:sz w:val="24"/>
          <w:szCs w:val="24"/>
        </w:rPr>
        <w:t>RESUMEN</w:t>
      </w:r>
    </w:p>
    <w:p w14:paraId="7C23B7B5" w14:textId="77777777" w:rsidR="00AE064D" w:rsidRPr="00914F08" w:rsidRDefault="00AE064D" w:rsidP="00AE064D">
      <w:pPr>
        <w:autoSpaceDE w:val="0"/>
        <w:autoSpaceDN w:val="0"/>
        <w:adjustRightInd w:val="0"/>
        <w:spacing w:after="0" w:line="240" w:lineRule="auto"/>
        <w:jc w:val="both"/>
        <w:rPr>
          <w:rFonts w:ascii="Arial" w:eastAsia="Calibri" w:hAnsi="Arial" w:cs="Arial"/>
          <w:b/>
          <w:iCs/>
          <w:sz w:val="24"/>
          <w:szCs w:val="24"/>
        </w:rPr>
      </w:pPr>
    </w:p>
    <w:p w14:paraId="084CE696" w14:textId="710D5115" w:rsidR="00AE064D" w:rsidRPr="00914F08" w:rsidRDefault="00AE064D" w:rsidP="00AE064D">
      <w:pPr>
        <w:autoSpaceDE w:val="0"/>
        <w:autoSpaceDN w:val="0"/>
        <w:adjustRightInd w:val="0"/>
        <w:spacing w:after="0" w:line="240" w:lineRule="auto"/>
        <w:jc w:val="both"/>
        <w:rPr>
          <w:rFonts w:ascii="Arial" w:eastAsia="Calibri" w:hAnsi="Arial" w:cs="Arial"/>
          <w:iCs/>
          <w:sz w:val="24"/>
          <w:szCs w:val="24"/>
        </w:rPr>
      </w:pPr>
      <w:r w:rsidRPr="00914F08">
        <w:rPr>
          <w:rFonts w:ascii="Arial" w:eastAsia="Calibri" w:hAnsi="Arial" w:cs="Arial"/>
          <w:iCs/>
          <w:sz w:val="24"/>
          <w:szCs w:val="24"/>
        </w:rPr>
        <w:t xml:space="preserve">      El propósito de esta investigación fue determinar la prevalencia del consumo de sustancias psicoestimulantes menores (cafeína, taurina, </w:t>
      </w:r>
      <w:r w:rsidRPr="00914F08">
        <w:rPr>
          <w:rFonts w:ascii="Arial" w:hAnsi="Arial" w:cs="Arial"/>
          <w:sz w:val="24"/>
          <w:szCs w:val="24"/>
        </w:rPr>
        <w:t>modafinilo)</w:t>
      </w:r>
      <w:r w:rsidRPr="00914F08">
        <w:rPr>
          <w:rFonts w:ascii="Arial" w:eastAsia="Calibri" w:hAnsi="Arial" w:cs="Arial"/>
          <w:iCs/>
          <w:sz w:val="24"/>
          <w:szCs w:val="24"/>
        </w:rPr>
        <w:t xml:space="preserve"> de venta libre en estudiantes universitar</w:t>
      </w:r>
      <w:r w:rsidR="00CC2BB3">
        <w:rPr>
          <w:rFonts w:ascii="Arial" w:eastAsia="Calibri" w:hAnsi="Arial" w:cs="Arial"/>
          <w:iCs/>
          <w:sz w:val="24"/>
          <w:szCs w:val="24"/>
        </w:rPr>
        <w:t xml:space="preserve">ios. La información se recopiló </w:t>
      </w:r>
      <w:r w:rsidRPr="00914F08">
        <w:rPr>
          <w:rFonts w:ascii="Arial" w:eastAsia="Calibri" w:hAnsi="Arial" w:cs="Arial"/>
          <w:iCs/>
          <w:sz w:val="24"/>
          <w:szCs w:val="24"/>
        </w:rPr>
        <w:t>mediante la aplicación de una encuesta a 235 estudiantes de primero a sexto semestre de la Carrera de Enfermería de la Universidad Central del Ecuador, período 2018 – 2019. El estudio de prevalencia revela el tipo de sustancias, frecuencia, razones y los efectos del consumo desde la percepción de los investigados. Los resultados permitieron inferir que el grupo de investigados tienen una alta prevalencia de consumo de café y bebidas energizantes y, un porcentaje considerable del consumo de fármacos. La periodicidad de consumo es de 2 a 3 tazas diarias de café, mientras que, más del 50% toma al menos una bebida energizante al día y el consumo de fármacos es una vez semanalmente.</w:t>
      </w:r>
      <w:r w:rsidRPr="00914F08">
        <w:rPr>
          <w:rFonts w:ascii="Arial" w:hAnsi="Arial" w:cs="Arial"/>
          <w:sz w:val="24"/>
          <w:szCs w:val="24"/>
        </w:rPr>
        <w:t xml:space="preserve"> Las principales razones de consumo fueron para mejorar el rendimiento académico y por sobrecarga de trabajo académico. Respecto de los efectos secundarios que produjo el consumo, se destacan </w:t>
      </w:r>
      <w:bookmarkStart w:id="2" w:name="_Hlk3295448"/>
      <w:r w:rsidRPr="00914F08">
        <w:rPr>
          <w:rFonts w:ascii="Arial" w:hAnsi="Arial" w:cs="Arial"/>
          <w:sz w:val="24"/>
          <w:szCs w:val="24"/>
        </w:rPr>
        <w:t xml:space="preserve">los psicológicos y los </w:t>
      </w:r>
      <w:bookmarkEnd w:id="2"/>
      <w:r w:rsidRPr="00914F08">
        <w:rPr>
          <w:rFonts w:ascii="Arial" w:hAnsi="Arial" w:cs="Arial"/>
          <w:sz w:val="24"/>
          <w:szCs w:val="24"/>
        </w:rPr>
        <w:t xml:space="preserve">gastrointestinales. En general, el 100% de la población universitaria estudiada, consume algún tipo </w:t>
      </w:r>
      <w:r w:rsidRPr="00914F08">
        <w:rPr>
          <w:rFonts w:ascii="Arial" w:hAnsi="Arial" w:cs="Arial"/>
          <w:sz w:val="24"/>
          <w:szCs w:val="24"/>
        </w:rPr>
        <w:lastRenderedPageBreak/>
        <w:t xml:space="preserve">de sustancia psicoestimulante menor, siendo los semestres de mayor consumo </w:t>
      </w:r>
      <w:r w:rsidRPr="00914F08">
        <w:rPr>
          <w:rFonts w:ascii="Arial" w:eastAsia="Calibri" w:hAnsi="Arial" w:cs="Arial"/>
          <w:iCs/>
          <w:sz w:val="24"/>
          <w:szCs w:val="24"/>
        </w:rPr>
        <w:t>tercero y primero, respectivamente.</w:t>
      </w:r>
    </w:p>
    <w:p w14:paraId="17806F33" w14:textId="77777777" w:rsidR="00AE064D" w:rsidRPr="00914F08" w:rsidRDefault="00AE064D" w:rsidP="00AE064D">
      <w:pPr>
        <w:autoSpaceDE w:val="0"/>
        <w:autoSpaceDN w:val="0"/>
        <w:adjustRightInd w:val="0"/>
        <w:spacing w:after="0" w:line="240" w:lineRule="auto"/>
        <w:jc w:val="both"/>
        <w:rPr>
          <w:rFonts w:ascii="Arial" w:hAnsi="Arial" w:cs="Arial"/>
          <w:sz w:val="24"/>
          <w:szCs w:val="24"/>
        </w:rPr>
      </w:pPr>
      <w:r w:rsidRPr="00914F08">
        <w:rPr>
          <w:rFonts w:ascii="Arial" w:eastAsia="Calibri" w:hAnsi="Arial" w:cs="Arial"/>
          <w:iCs/>
          <w:sz w:val="24"/>
          <w:szCs w:val="24"/>
        </w:rPr>
        <w:t xml:space="preserve">     </w:t>
      </w:r>
      <w:r w:rsidRPr="00914F08">
        <w:rPr>
          <w:rFonts w:ascii="Arial" w:eastAsia="Calibri" w:hAnsi="Arial" w:cs="Arial"/>
          <w:b/>
          <w:iCs/>
          <w:sz w:val="24"/>
          <w:szCs w:val="24"/>
        </w:rPr>
        <w:t xml:space="preserve">Palabras clave: </w:t>
      </w:r>
      <w:r w:rsidRPr="00914F08">
        <w:rPr>
          <w:rFonts w:ascii="Arial" w:eastAsia="Calibri" w:hAnsi="Arial" w:cs="Arial"/>
          <w:iCs/>
          <w:sz w:val="24"/>
          <w:szCs w:val="24"/>
        </w:rPr>
        <w:t>prevalencia, cafeína, bebidas energéticas, taurina, modafinilo.</w:t>
      </w:r>
    </w:p>
    <w:p w14:paraId="289A6D49" w14:textId="5B455E85" w:rsidR="00AE064D" w:rsidRPr="00CC2BB3" w:rsidRDefault="008346F9" w:rsidP="00AE064D">
      <w:pPr>
        <w:autoSpaceDE w:val="0"/>
        <w:autoSpaceDN w:val="0"/>
        <w:adjustRightInd w:val="0"/>
        <w:spacing w:after="0" w:line="240" w:lineRule="auto"/>
        <w:jc w:val="both"/>
        <w:rPr>
          <w:rFonts w:ascii="Arial" w:eastAsia="Calibri" w:hAnsi="Arial" w:cs="Arial"/>
          <w:iCs/>
          <w:sz w:val="24"/>
          <w:szCs w:val="24"/>
          <w:lang w:val="en-US"/>
        </w:rPr>
      </w:pPr>
      <w:r w:rsidRPr="00CC2BB3">
        <w:rPr>
          <w:rFonts w:ascii="Arial" w:eastAsia="Calibri" w:hAnsi="Arial" w:cs="Arial"/>
          <w:b/>
          <w:iCs/>
          <w:sz w:val="24"/>
          <w:szCs w:val="24"/>
          <w:lang w:val="en-US"/>
        </w:rPr>
        <w:t>ABSTRACT</w:t>
      </w:r>
    </w:p>
    <w:p w14:paraId="2EA2128E" w14:textId="77777777" w:rsidR="00AE064D" w:rsidRPr="00CC2BB3" w:rsidRDefault="00AE064D" w:rsidP="00AE064D">
      <w:pPr>
        <w:autoSpaceDE w:val="0"/>
        <w:autoSpaceDN w:val="0"/>
        <w:adjustRightInd w:val="0"/>
        <w:spacing w:after="0" w:line="240" w:lineRule="auto"/>
        <w:ind w:firstLine="284"/>
        <w:jc w:val="both"/>
        <w:rPr>
          <w:rFonts w:ascii="Arial" w:eastAsia="Calibri" w:hAnsi="Arial" w:cs="Arial"/>
          <w:iCs/>
          <w:sz w:val="24"/>
          <w:szCs w:val="24"/>
          <w:lang w:val="en-US"/>
        </w:rPr>
      </w:pPr>
    </w:p>
    <w:p w14:paraId="66521589" w14:textId="77777777" w:rsidR="00AE064D" w:rsidRPr="00CC2BB3" w:rsidRDefault="00AE064D" w:rsidP="00AE064D">
      <w:pPr>
        <w:autoSpaceDE w:val="0"/>
        <w:autoSpaceDN w:val="0"/>
        <w:adjustRightInd w:val="0"/>
        <w:spacing w:after="0" w:line="240" w:lineRule="auto"/>
        <w:ind w:firstLine="284"/>
        <w:jc w:val="both"/>
        <w:rPr>
          <w:rFonts w:ascii="Arial" w:eastAsia="Calibri" w:hAnsi="Arial" w:cs="Arial"/>
          <w:iCs/>
          <w:sz w:val="24"/>
          <w:szCs w:val="24"/>
          <w:lang w:val="en-US"/>
        </w:rPr>
      </w:pPr>
      <w:r w:rsidRPr="00CC2BB3">
        <w:rPr>
          <w:rFonts w:ascii="Arial" w:hAnsi="Arial" w:cs="Arial"/>
          <w:color w:val="222222"/>
          <w:sz w:val="24"/>
          <w:szCs w:val="24"/>
          <w:shd w:val="clear" w:color="auto" w:fill="F8F9FA"/>
          <w:lang w:val="en-US"/>
        </w:rPr>
        <w:t>The purpose of determining the prevalence of consumption of minor psychostimulant substances (caffeine, taurine, modafinil) over-the-counter in university students. The information was collected by applying a survey to 235 students from the first to the sixth semester of the Nursing Career at the Central University of Ecuador, period 2018 - 2019. The prevalence study reveals the type of substances, frequency, reasons and Effects of consumption from the perception of the investigated. For the analysis of data, measures of central tendency, calculation of the chi-square statistic and OR as measures of significance were applied, which allowed inferring that the group of researchers have a very high consumption prevalence of coffee and energy drinks and a considerable percentage of the drug consumption. The periodicity of consumption is 2 to 3 daily cups of coffee, while more than 50% take at least one energy drink per day and the consumption of drugs is once weekly. The reasons for consumption were to improve academic performance and overload of academic work. Regarding the side effects produced by the consumption, the psychological and gastrointestinal ones stand out. In general, 100% of the studied university population consumes some type of minor psychostimulant substance, being the semesters of higher consumption third and first, respectively.</w:t>
      </w:r>
    </w:p>
    <w:p w14:paraId="0DD9CE9B" w14:textId="77777777" w:rsidR="00AE064D" w:rsidRPr="00CC2BB3" w:rsidRDefault="00AE064D" w:rsidP="00AE064D">
      <w:pPr>
        <w:autoSpaceDE w:val="0"/>
        <w:autoSpaceDN w:val="0"/>
        <w:adjustRightInd w:val="0"/>
        <w:spacing w:after="0" w:line="240" w:lineRule="auto"/>
        <w:ind w:firstLine="284"/>
        <w:jc w:val="both"/>
        <w:rPr>
          <w:rFonts w:ascii="Arial" w:hAnsi="Arial" w:cs="Arial"/>
          <w:color w:val="222222"/>
          <w:sz w:val="24"/>
          <w:szCs w:val="24"/>
          <w:shd w:val="clear" w:color="auto" w:fill="F8F9FA"/>
          <w:lang w:val="en-US"/>
        </w:rPr>
      </w:pPr>
      <w:r w:rsidRPr="00CC2BB3">
        <w:rPr>
          <w:rFonts w:ascii="Arial" w:eastAsia="Calibri" w:hAnsi="Arial" w:cs="Arial"/>
          <w:b/>
          <w:iCs/>
          <w:sz w:val="24"/>
          <w:szCs w:val="24"/>
          <w:lang w:val="en-US"/>
        </w:rPr>
        <w:t xml:space="preserve">Keyboards: </w:t>
      </w:r>
      <w:r w:rsidRPr="00CC2BB3">
        <w:rPr>
          <w:rFonts w:ascii="Arial" w:hAnsi="Arial" w:cs="Arial"/>
          <w:color w:val="222222"/>
          <w:sz w:val="24"/>
          <w:szCs w:val="24"/>
          <w:shd w:val="clear" w:color="auto" w:fill="F8F9FA"/>
          <w:lang w:val="en-US"/>
        </w:rPr>
        <w:t>prevalence, caffeine, energy drinks, taurine, modafinil.</w:t>
      </w:r>
    </w:p>
    <w:p w14:paraId="2B6208FC" w14:textId="77777777" w:rsidR="00AE064D" w:rsidRPr="00CC2BB3" w:rsidRDefault="00AE064D" w:rsidP="00AE064D">
      <w:pPr>
        <w:autoSpaceDE w:val="0"/>
        <w:autoSpaceDN w:val="0"/>
        <w:adjustRightInd w:val="0"/>
        <w:spacing w:after="0" w:line="240" w:lineRule="auto"/>
        <w:ind w:firstLine="284"/>
        <w:jc w:val="both"/>
        <w:rPr>
          <w:rFonts w:ascii="Arial" w:hAnsi="Arial" w:cs="Arial"/>
          <w:color w:val="222222"/>
          <w:sz w:val="24"/>
          <w:szCs w:val="24"/>
          <w:shd w:val="clear" w:color="auto" w:fill="F8F9FA"/>
          <w:lang w:val="en-US"/>
        </w:rPr>
      </w:pPr>
    </w:p>
    <w:p w14:paraId="17DC7CC2" w14:textId="6C66B20F" w:rsidR="00AE064D" w:rsidRPr="00914F08" w:rsidRDefault="00AE064D" w:rsidP="00AE064D">
      <w:pPr>
        <w:autoSpaceDE w:val="0"/>
        <w:autoSpaceDN w:val="0"/>
        <w:adjustRightInd w:val="0"/>
        <w:spacing w:after="0" w:line="240" w:lineRule="auto"/>
        <w:jc w:val="both"/>
        <w:rPr>
          <w:rFonts w:ascii="Arial" w:eastAsia="Calibri" w:hAnsi="Arial" w:cs="Arial"/>
          <w:b/>
          <w:iCs/>
          <w:sz w:val="24"/>
          <w:szCs w:val="24"/>
        </w:rPr>
      </w:pPr>
      <w:r w:rsidRPr="00914F08">
        <w:rPr>
          <w:rFonts w:ascii="Arial" w:eastAsia="Calibri" w:hAnsi="Arial" w:cs="Arial"/>
          <w:b/>
          <w:iCs/>
          <w:sz w:val="24"/>
          <w:szCs w:val="24"/>
        </w:rPr>
        <w:t>INTRODUCCIÓN</w:t>
      </w:r>
    </w:p>
    <w:p w14:paraId="3AC9ED2C" w14:textId="77777777" w:rsidR="00AE064D" w:rsidRPr="00914F08" w:rsidRDefault="00AE064D" w:rsidP="00AE064D">
      <w:pPr>
        <w:autoSpaceDE w:val="0"/>
        <w:autoSpaceDN w:val="0"/>
        <w:adjustRightInd w:val="0"/>
        <w:spacing w:after="0" w:line="240" w:lineRule="auto"/>
        <w:jc w:val="both"/>
        <w:rPr>
          <w:rFonts w:ascii="Arial" w:eastAsia="Calibri" w:hAnsi="Arial" w:cs="Arial"/>
          <w:b/>
          <w:iCs/>
          <w:sz w:val="24"/>
          <w:szCs w:val="24"/>
        </w:rPr>
      </w:pPr>
    </w:p>
    <w:p w14:paraId="7CF6B3BB" w14:textId="77777777" w:rsidR="00AE064D" w:rsidRPr="00914F08" w:rsidRDefault="00AE064D" w:rsidP="00AE064D">
      <w:pPr>
        <w:autoSpaceDE w:val="0"/>
        <w:autoSpaceDN w:val="0"/>
        <w:adjustRightInd w:val="0"/>
        <w:spacing w:after="0" w:line="240" w:lineRule="auto"/>
        <w:ind w:firstLine="284"/>
        <w:jc w:val="both"/>
        <w:rPr>
          <w:rFonts w:ascii="Arial" w:hAnsi="Arial" w:cs="Arial"/>
          <w:sz w:val="24"/>
          <w:szCs w:val="24"/>
        </w:rPr>
      </w:pPr>
      <w:r w:rsidRPr="00914F08">
        <w:rPr>
          <w:rFonts w:ascii="Arial" w:hAnsi="Arial" w:cs="Arial"/>
          <w:color w:val="000000" w:themeColor="text1"/>
          <w:sz w:val="24"/>
          <w:szCs w:val="24"/>
        </w:rPr>
        <w:t xml:space="preserve">En el mundo se incrementa y generaliza el consumo de </w:t>
      </w:r>
      <w:r w:rsidRPr="00914F08">
        <w:rPr>
          <w:rFonts w:ascii="Arial" w:eastAsia="Calibri" w:hAnsi="Arial" w:cs="Arial"/>
          <w:iCs/>
          <w:sz w:val="24"/>
          <w:szCs w:val="24"/>
        </w:rPr>
        <w:t xml:space="preserve">psicoestimulantes menores, </w:t>
      </w:r>
      <w:r w:rsidRPr="00914F08">
        <w:rPr>
          <w:rFonts w:ascii="Arial" w:hAnsi="Arial" w:cs="Arial"/>
          <w:color w:val="000000" w:themeColor="text1"/>
          <w:sz w:val="24"/>
          <w:szCs w:val="24"/>
        </w:rPr>
        <w:t xml:space="preserve">siendo la población estudiantil adolescentes de nivel secundario y jóvenes universitarios </w:t>
      </w:r>
      <w:r w:rsidRPr="00CC2BB3">
        <w:rPr>
          <w:rFonts w:ascii="Arial" w:hAnsi="Arial" w:cs="Arial"/>
          <w:color w:val="222222"/>
          <w:sz w:val="24"/>
          <w:szCs w:val="24"/>
          <w:shd w:val="clear" w:color="auto" w:fill="F8F9FA"/>
        </w:rPr>
        <w:t>los</w:t>
      </w:r>
      <w:r w:rsidRPr="00914F08">
        <w:rPr>
          <w:rFonts w:ascii="Arial" w:hAnsi="Arial" w:cs="Arial"/>
          <w:color w:val="000000" w:themeColor="text1"/>
          <w:sz w:val="24"/>
          <w:szCs w:val="24"/>
        </w:rPr>
        <w:t xml:space="preserve"> más vulnerables, esto se explica por la razón de que los universitarios se encuentran expuestos a situaciones de ansiedad que resultan de una vida acelerada y con múltiples tareas y obligaciones. Por lo general, conforme menciona </w:t>
      </w:r>
      <w:proofErr w:type="spellStart"/>
      <w:r w:rsidRPr="00914F08">
        <w:rPr>
          <w:rFonts w:ascii="Arial" w:hAnsi="Arial" w:cs="Arial"/>
          <w:color w:val="000000" w:themeColor="text1"/>
          <w:sz w:val="24"/>
          <w:szCs w:val="24"/>
        </w:rPr>
        <w:t>Batule</w:t>
      </w:r>
      <w:proofErr w:type="spellEnd"/>
      <w:r w:rsidRPr="00914F08">
        <w:rPr>
          <w:rFonts w:ascii="Arial" w:hAnsi="Arial" w:cs="Arial"/>
          <w:color w:val="000000" w:themeColor="text1"/>
          <w:sz w:val="24"/>
          <w:szCs w:val="24"/>
        </w:rPr>
        <w:t xml:space="preserve"> </w:t>
      </w:r>
      <w:sdt>
        <w:sdtPr>
          <w:rPr>
            <w:rFonts w:ascii="Arial" w:hAnsi="Arial" w:cs="Arial"/>
            <w:color w:val="000000" w:themeColor="text1"/>
            <w:sz w:val="24"/>
            <w:szCs w:val="24"/>
          </w:rPr>
          <w:id w:val="-960113649"/>
          <w:citation/>
        </w:sdtPr>
        <w:sdtEndPr/>
        <w:sdtContent>
          <w:r w:rsidRPr="00914F08">
            <w:rPr>
              <w:rFonts w:ascii="Arial" w:hAnsi="Arial" w:cs="Arial"/>
              <w:color w:val="000000" w:themeColor="text1"/>
              <w:sz w:val="24"/>
              <w:szCs w:val="24"/>
            </w:rPr>
            <w:fldChar w:fldCharType="begin"/>
          </w:r>
          <w:r w:rsidRPr="00914F08">
            <w:rPr>
              <w:rFonts w:ascii="Arial" w:hAnsi="Arial" w:cs="Arial"/>
              <w:color w:val="000000" w:themeColor="text1"/>
              <w:sz w:val="24"/>
              <w:szCs w:val="24"/>
            </w:rPr>
            <w:instrText xml:space="preserve">CITATION Bat18 \n  \t  \l 12298 </w:instrText>
          </w:r>
          <w:r w:rsidRPr="00914F08">
            <w:rPr>
              <w:rFonts w:ascii="Arial" w:hAnsi="Arial" w:cs="Arial"/>
              <w:color w:val="000000" w:themeColor="text1"/>
              <w:sz w:val="24"/>
              <w:szCs w:val="24"/>
            </w:rPr>
            <w:fldChar w:fldCharType="separate"/>
          </w:r>
          <w:r w:rsidRPr="00914F08">
            <w:rPr>
              <w:rFonts w:ascii="Arial" w:hAnsi="Arial" w:cs="Arial"/>
              <w:noProof/>
              <w:color w:val="000000" w:themeColor="text1"/>
              <w:sz w:val="24"/>
              <w:szCs w:val="24"/>
            </w:rPr>
            <w:t>(2018)</w:t>
          </w:r>
          <w:r w:rsidRPr="00914F08">
            <w:rPr>
              <w:rFonts w:ascii="Arial" w:hAnsi="Arial" w:cs="Arial"/>
              <w:color w:val="000000" w:themeColor="text1"/>
              <w:sz w:val="24"/>
              <w:szCs w:val="24"/>
            </w:rPr>
            <w:fldChar w:fldCharType="end"/>
          </w:r>
        </w:sdtContent>
      </w:sdt>
      <w:r w:rsidRPr="00914F08">
        <w:rPr>
          <w:rFonts w:ascii="Arial" w:hAnsi="Arial" w:cs="Arial"/>
          <w:color w:val="000000" w:themeColor="text1"/>
          <w:sz w:val="24"/>
          <w:szCs w:val="24"/>
        </w:rPr>
        <w:t>, el arribo a la universidad es sinónimo de largas horas de estudio y trabajo dentro o fuera del campus universitario, aumentándose la exigencia en la transición de un nivel académico a otro, las responsabilidades académicas acrecientan y por ende el estudiante requiere mayor tiempo de vigilia y concentración para cumplir con su rol académico.</w:t>
      </w:r>
    </w:p>
    <w:p w14:paraId="6852B901" w14:textId="77777777" w:rsidR="00AE064D" w:rsidRPr="00914F08" w:rsidRDefault="00AE064D" w:rsidP="00AE064D">
      <w:pPr>
        <w:autoSpaceDE w:val="0"/>
        <w:autoSpaceDN w:val="0"/>
        <w:adjustRightInd w:val="0"/>
        <w:spacing w:after="0" w:line="240" w:lineRule="auto"/>
        <w:ind w:firstLine="284"/>
        <w:jc w:val="both"/>
        <w:rPr>
          <w:rFonts w:ascii="Arial" w:hAnsi="Arial" w:cs="Arial"/>
          <w:color w:val="000000" w:themeColor="text1"/>
          <w:sz w:val="24"/>
          <w:szCs w:val="24"/>
          <w:shd w:val="clear" w:color="auto" w:fill="FFFFFF"/>
        </w:rPr>
      </w:pPr>
      <w:r w:rsidRPr="00914F08">
        <w:rPr>
          <w:rFonts w:ascii="Arial" w:hAnsi="Arial" w:cs="Arial"/>
          <w:color w:val="000000" w:themeColor="text1"/>
          <w:sz w:val="24"/>
          <w:szCs w:val="24"/>
        </w:rPr>
        <w:t xml:space="preserve">En el contexto de aumentar el tiempo de vigilia, han surgido </w:t>
      </w:r>
      <w:r w:rsidRPr="00914F08">
        <w:rPr>
          <w:rFonts w:ascii="Arial" w:hAnsi="Arial" w:cs="Arial"/>
          <w:color w:val="000000" w:themeColor="text1"/>
          <w:sz w:val="24"/>
          <w:szCs w:val="24"/>
          <w:shd w:val="clear" w:color="auto" w:fill="FFFFFF"/>
        </w:rPr>
        <w:t xml:space="preserve">en el mercado sustancias psicoestimulantes de diverso tipo, siendo las más utilizadas las sustancias psicoestimulantes menores como el café (cafeína), las bebidas energéticas (cafeína, taurina y otros componentes) y los fármacos (cafeína y/o modafinilo). La Organización Mundial de la Salud, define a los psicoestimulantes como “cualquier sustancia que activa, potencia o incrementa la actividad neuronal en el sistema nervioso central” </w:t>
      </w:r>
      <w:sdt>
        <w:sdtPr>
          <w:rPr>
            <w:rFonts w:ascii="Arial" w:hAnsi="Arial" w:cs="Arial"/>
            <w:color w:val="000000" w:themeColor="text1"/>
            <w:sz w:val="24"/>
            <w:szCs w:val="24"/>
            <w:shd w:val="clear" w:color="auto" w:fill="FFFFFF"/>
          </w:rPr>
          <w:id w:val="326943806"/>
          <w:citation/>
        </w:sdtPr>
        <w:sdtEndPr/>
        <w:sdtContent>
          <w:r w:rsidRPr="00914F08">
            <w:rPr>
              <w:rFonts w:ascii="Arial" w:hAnsi="Arial" w:cs="Arial"/>
              <w:color w:val="000000" w:themeColor="text1"/>
              <w:sz w:val="24"/>
              <w:szCs w:val="24"/>
              <w:shd w:val="clear" w:color="auto" w:fill="FFFFFF"/>
            </w:rPr>
            <w:fldChar w:fldCharType="begin"/>
          </w:r>
          <w:r w:rsidRPr="00914F08">
            <w:rPr>
              <w:rFonts w:ascii="Arial" w:hAnsi="Arial" w:cs="Arial"/>
              <w:color w:val="000000" w:themeColor="text1"/>
              <w:sz w:val="24"/>
              <w:szCs w:val="24"/>
              <w:shd w:val="clear" w:color="auto" w:fill="FFFFFF"/>
            </w:rPr>
            <w:instrText xml:space="preserve">CITATION Org08 \p 33 \n  \t  \l 12298 </w:instrText>
          </w:r>
          <w:r w:rsidRPr="00914F08">
            <w:rPr>
              <w:rFonts w:ascii="Arial" w:hAnsi="Arial" w:cs="Arial"/>
              <w:color w:val="000000" w:themeColor="text1"/>
              <w:sz w:val="24"/>
              <w:szCs w:val="24"/>
              <w:shd w:val="clear" w:color="auto" w:fill="FFFFFF"/>
            </w:rPr>
            <w:fldChar w:fldCharType="separate"/>
          </w:r>
          <w:r w:rsidRPr="00914F08">
            <w:rPr>
              <w:rFonts w:ascii="Arial" w:hAnsi="Arial" w:cs="Arial"/>
              <w:noProof/>
              <w:color w:val="000000" w:themeColor="text1"/>
              <w:sz w:val="24"/>
              <w:szCs w:val="24"/>
              <w:shd w:val="clear" w:color="auto" w:fill="FFFFFF"/>
            </w:rPr>
            <w:t>(2008, pág. 33)</w:t>
          </w:r>
          <w:r w:rsidRPr="00914F08">
            <w:rPr>
              <w:rFonts w:ascii="Arial" w:hAnsi="Arial" w:cs="Arial"/>
              <w:color w:val="000000" w:themeColor="text1"/>
              <w:sz w:val="24"/>
              <w:szCs w:val="24"/>
              <w:shd w:val="clear" w:color="auto" w:fill="FFFFFF"/>
            </w:rPr>
            <w:fldChar w:fldCharType="end"/>
          </w:r>
        </w:sdtContent>
      </w:sdt>
      <w:r w:rsidRPr="00914F08">
        <w:rPr>
          <w:rFonts w:ascii="Arial" w:hAnsi="Arial" w:cs="Arial"/>
          <w:color w:val="000000" w:themeColor="text1"/>
          <w:sz w:val="24"/>
          <w:szCs w:val="24"/>
          <w:shd w:val="clear" w:color="auto" w:fill="FFFFFF"/>
        </w:rPr>
        <w:t>.</w:t>
      </w:r>
    </w:p>
    <w:p w14:paraId="58A75661" w14:textId="77777777" w:rsidR="00AE064D" w:rsidRPr="00914F08" w:rsidRDefault="00AE064D" w:rsidP="00AE064D">
      <w:pPr>
        <w:autoSpaceDE w:val="0"/>
        <w:autoSpaceDN w:val="0"/>
        <w:adjustRightInd w:val="0"/>
        <w:spacing w:after="0" w:line="240" w:lineRule="auto"/>
        <w:ind w:firstLine="284"/>
        <w:jc w:val="both"/>
        <w:rPr>
          <w:rStyle w:val="nfasissutil"/>
          <w:rFonts w:ascii="Arial" w:hAnsi="Arial" w:cs="Arial"/>
          <w:i w:val="0"/>
          <w:iCs w:val="0"/>
          <w:color w:val="auto"/>
          <w:sz w:val="24"/>
          <w:szCs w:val="24"/>
        </w:rPr>
      </w:pPr>
      <w:r w:rsidRPr="00914F08">
        <w:rPr>
          <w:rStyle w:val="nfasissutil"/>
          <w:rFonts w:ascii="Arial" w:hAnsi="Arial" w:cs="Arial"/>
          <w:color w:val="000000" w:themeColor="text1"/>
          <w:sz w:val="24"/>
          <w:szCs w:val="24"/>
        </w:rPr>
        <w:t>Varias de estas sustancias, se han consumido desde la antigüedad, siendo la cafeína la primera</w:t>
      </w:r>
      <w:r w:rsidRPr="00914F08">
        <w:rPr>
          <w:rFonts w:ascii="Arial" w:hAnsi="Arial" w:cs="Arial"/>
          <w:color w:val="000000" w:themeColor="text1"/>
          <w:sz w:val="24"/>
          <w:szCs w:val="24"/>
        </w:rPr>
        <w:t xml:space="preserve"> de ellas, proveniente del café en Arabia, durante el siglo IX.  En este sentido, Regalado </w:t>
      </w:r>
      <w:sdt>
        <w:sdtPr>
          <w:rPr>
            <w:rFonts w:ascii="Arial" w:hAnsi="Arial" w:cs="Arial"/>
            <w:color w:val="000000" w:themeColor="text1"/>
            <w:sz w:val="24"/>
            <w:szCs w:val="24"/>
          </w:rPr>
          <w:id w:val="342911473"/>
          <w:citation/>
        </w:sdtPr>
        <w:sdtEndPr/>
        <w:sdtContent>
          <w:r w:rsidRPr="00914F08">
            <w:rPr>
              <w:rFonts w:ascii="Arial" w:hAnsi="Arial" w:cs="Arial"/>
              <w:color w:val="000000" w:themeColor="text1"/>
              <w:sz w:val="24"/>
              <w:szCs w:val="24"/>
            </w:rPr>
            <w:fldChar w:fldCharType="begin"/>
          </w:r>
          <w:r w:rsidRPr="00914F08">
            <w:rPr>
              <w:rFonts w:ascii="Arial" w:hAnsi="Arial" w:cs="Arial"/>
              <w:color w:val="000000" w:themeColor="text1"/>
              <w:sz w:val="24"/>
              <w:szCs w:val="24"/>
            </w:rPr>
            <w:instrText xml:space="preserve">CITATION Reg14 \n  \t  \l 12298 </w:instrText>
          </w:r>
          <w:r w:rsidRPr="00914F08">
            <w:rPr>
              <w:rFonts w:ascii="Arial" w:hAnsi="Arial" w:cs="Arial"/>
              <w:color w:val="000000" w:themeColor="text1"/>
              <w:sz w:val="24"/>
              <w:szCs w:val="24"/>
            </w:rPr>
            <w:fldChar w:fldCharType="separate"/>
          </w:r>
          <w:r w:rsidRPr="00914F08">
            <w:rPr>
              <w:rFonts w:ascii="Arial" w:hAnsi="Arial" w:cs="Arial"/>
              <w:noProof/>
              <w:color w:val="000000" w:themeColor="text1"/>
              <w:sz w:val="24"/>
              <w:szCs w:val="24"/>
            </w:rPr>
            <w:t>(2014)</w:t>
          </w:r>
          <w:r w:rsidRPr="00914F08">
            <w:rPr>
              <w:rFonts w:ascii="Arial" w:hAnsi="Arial" w:cs="Arial"/>
              <w:color w:val="000000" w:themeColor="text1"/>
              <w:sz w:val="24"/>
              <w:szCs w:val="24"/>
            </w:rPr>
            <w:fldChar w:fldCharType="end"/>
          </w:r>
        </w:sdtContent>
      </w:sdt>
      <w:r w:rsidRPr="00914F08">
        <w:rPr>
          <w:rFonts w:ascii="Arial" w:hAnsi="Arial" w:cs="Arial"/>
          <w:color w:val="000000" w:themeColor="text1"/>
          <w:sz w:val="24"/>
          <w:szCs w:val="24"/>
        </w:rPr>
        <w:t xml:space="preserve">, señala que el café se cultivó por primera vez </w:t>
      </w:r>
      <w:r w:rsidRPr="00914F08">
        <w:rPr>
          <w:rFonts w:ascii="Arial" w:hAnsi="Arial" w:cs="Arial"/>
          <w:color w:val="000000" w:themeColor="text1"/>
          <w:sz w:val="24"/>
          <w:szCs w:val="24"/>
        </w:rPr>
        <w:lastRenderedPageBreak/>
        <w:t xml:space="preserve">en Etiopía, de la misma forma que el té en China y el cacao en América del Sur, cultivos que se expandieron por el mundo, generalizándose su consumo en la sociedad, no es la excepción el Ecuador, puesto que es un país de </w:t>
      </w:r>
      <w:r w:rsidRPr="00914F08">
        <w:rPr>
          <w:rStyle w:val="nfasissutil"/>
          <w:rFonts w:ascii="Arial" w:hAnsi="Arial" w:cs="Arial"/>
          <w:color w:val="000000" w:themeColor="text1"/>
          <w:sz w:val="24"/>
          <w:szCs w:val="24"/>
        </w:rPr>
        <w:t>exportación cafetera.</w:t>
      </w:r>
    </w:p>
    <w:p w14:paraId="63EEE0C1" w14:textId="77777777" w:rsidR="00AE064D" w:rsidRPr="00914F08" w:rsidRDefault="00AE064D" w:rsidP="00AE064D">
      <w:pPr>
        <w:autoSpaceDE w:val="0"/>
        <w:autoSpaceDN w:val="0"/>
        <w:adjustRightInd w:val="0"/>
        <w:spacing w:after="0" w:line="240" w:lineRule="auto"/>
        <w:ind w:firstLine="284"/>
        <w:jc w:val="both"/>
        <w:rPr>
          <w:rFonts w:ascii="Arial" w:hAnsi="Arial" w:cs="Arial"/>
          <w:sz w:val="24"/>
          <w:szCs w:val="24"/>
        </w:rPr>
      </w:pPr>
      <w:r w:rsidRPr="00914F08">
        <w:rPr>
          <w:rFonts w:ascii="Arial" w:hAnsi="Arial" w:cs="Arial"/>
          <w:color w:val="000000" w:themeColor="text1"/>
          <w:sz w:val="24"/>
          <w:szCs w:val="24"/>
        </w:rPr>
        <w:t xml:space="preserve">Respecto de las bebidas energizantes, Brailowsky </w:t>
      </w:r>
      <w:sdt>
        <w:sdtPr>
          <w:rPr>
            <w:rFonts w:ascii="Arial" w:hAnsi="Arial" w:cs="Arial"/>
            <w:color w:val="000000" w:themeColor="text1"/>
            <w:sz w:val="24"/>
            <w:szCs w:val="24"/>
          </w:rPr>
          <w:id w:val="-693310328"/>
          <w:citation/>
        </w:sdtPr>
        <w:sdtEndPr/>
        <w:sdtContent>
          <w:r w:rsidRPr="00914F08">
            <w:rPr>
              <w:rFonts w:ascii="Arial" w:hAnsi="Arial" w:cs="Arial"/>
              <w:color w:val="000000" w:themeColor="text1"/>
              <w:sz w:val="24"/>
              <w:szCs w:val="24"/>
            </w:rPr>
            <w:fldChar w:fldCharType="begin"/>
          </w:r>
          <w:r w:rsidRPr="00914F08">
            <w:rPr>
              <w:rFonts w:ascii="Arial" w:hAnsi="Arial" w:cs="Arial"/>
              <w:color w:val="000000" w:themeColor="text1"/>
              <w:sz w:val="24"/>
              <w:szCs w:val="24"/>
            </w:rPr>
            <w:instrText xml:space="preserve">CITATION Bra \n  \t  \l 12298 </w:instrText>
          </w:r>
          <w:r w:rsidRPr="00914F08">
            <w:rPr>
              <w:rFonts w:ascii="Arial" w:hAnsi="Arial" w:cs="Arial"/>
              <w:color w:val="000000" w:themeColor="text1"/>
              <w:sz w:val="24"/>
              <w:szCs w:val="24"/>
            </w:rPr>
            <w:fldChar w:fldCharType="separate"/>
          </w:r>
          <w:r w:rsidRPr="00914F08">
            <w:rPr>
              <w:rFonts w:ascii="Arial" w:hAnsi="Arial" w:cs="Arial"/>
              <w:noProof/>
              <w:color w:val="000000" w:themeColor="text1"/>
              <w:sz w:val="24"/>
              <w:szCs w:val="24"/>
            </w:rPr>
            <w:t xml:space="preserve"> (1995)</w:t>
          </w:r>
          <w:r w:rsidRPr="00914F08">
            <w:rPr>
              <w:rFonts w:ascii="Arial" w:hAnsi="Arial" w:cs="Arial"/>
              <w:color w:val="000000" w:themeColor="text1"/>
              <w:sz w:val="24"/>
              <w:szCs w:val="24"/>
            </w:rPr>
            <w:fldChar w:fldCharType="end"/>
          </w:r>
        </w:sdtContent>
      </w:sdt>
      <w:r w:rsidRPr="00914F08">
        <w:rPr>
          <w:rFonts w:ascii="Arial" w:hAnsi="Arial" w:cs="Arial"/>
          <w:color w:val="000000" w:themeColor="text1"/>
          <w:sz w:val="24"/>
          <w:szCs w:val="24"/>
        </w:rPr>
        <w:t xml:space="preserve">, señala que inicialmente fueron creadas para deportistas con la finalidad de incrementar la resistencia física, proveer reacciones más veloces, aumentar el nivel de concentración, evitar el sueño, proporcionar sensación de bienestar, estimular el metabolismo y ayudar a eliminar sustancias nocivas para el cuerpo, sin embargo, actualmente no solo deportistas las consumen sino también adolescentes y jóvenes. </w:t>
      </w:r>
    </w:p>
    <w:p w14:paraId="138E961F" w14:textId="77777777" w:rsidR="00AE064D" w:rsidRPr="00914F08" w:rsidRDefault="00AE064D" w:rsidP="00AE064D">
      <w:pPr>
        <w:autoSpaceDE w:val="0"/>
        <w:autoSpaceDN w:val="0"/>
        <w:adjustRightInd w:val="0"/>
        <w:spacing w:after="0" w:line="240" w:lineRule="auto"/>
        <w:ind w:firstLine="284"/>
        <w:jc w:val="both"/>
        <w:rPr>
          <w:rFonts w:ascii="Arial" w:hAnsi="Arial" w:cs="Arial"/>
          <w:color w:val="000000" w:themeColor="text1"/>
          <w:sz w:val="24"/>
          <w:szCs w:val="24"/>
        </w:rPr>
      </w:pPr>
      <w:r w:rsidRPr="00914F08">
        <w:rPr>
          <w:rStyle w:val="nfasissutil"/>
          <w:rFonts w:ascii="Arial" w:hAnsi="Arial" w:cs="Arial"/>
          <w:color w:val="000000" w:themeColor="text1"/>
          <w:sz w:val="24"/>
          <w:szCs w:val="24"/>
        </w:rPr>
        <w:t>De acuerdo con Instituto Ecuatoriano de Propiedad Intelectual</w:t>
      </w:r>
      <w:sdt>
        <w:sdtPr>
          <w:rPr>
            <w:rStyle w:val="nfasissutil"/>
            <w:rFonts w:ascii="Arial" w:hAnsi="Arial" w:cs="Arial"/>
            <w:color w:val="000000" w:themeColor="text1"/>
            <w:sz w:val="24"/>
            <w:szCs w:val="24"/>
          </w:rPr>
          <w:id w:val="212389977"/>
          <w:citation/>
        </w:sdtPr>
        <w:sdtEndPr>
          <w:rPr>
            <w:rStyle w:val="nfasissutil"/>
          </w:rPr>
        </w:sdtEndPr>
        <w:sdtContent>
          <w:r w:rsidRPr="00914F08">
            <w:rPr>
              <w:rStyle w:val="nfasissutil"/>
              <w:rFonts w:ascii="Arial" w:hAnsi="Arial" w:cs="Arial"/>
              <w:color w:val="000000" w:themeColor="text1"/>
              <w:sz w:val="24"/>
              <w:szCs w:val="24"/>
            </w:rPr>
            <w:fldChar w:fldCharType="begin"/>
          </w:r>
          <w:r w:rsidRPr="00914F08">
            <w:rPr>
              <w:rStyle w:val="nfasissutil"/>
              <w:rFonts w:ascii="Arial" w:hAnsi="Arial" w:cs="Arial"/>
              <w:color w:val="000000" w:themeColor="text1"/>
              <w:sz w:val="24"/>
              <w:szCs w:val="24"/>
            </w:rPr>
            <w:instrText xml:space="preserve">CITATION Ins14 \n  \t  \l 12298 </w:instrText>
          </w:r>
          <w:r w:rsidRPr="00914F08">
            <w:rPr>
              <w:rStyle w:val="nfasissutil"/>
              <w:rFonts w:ascii="Arial" w:hAnsi="Arial" w:cs="Arial"/>
              <w:color w:val="000000" w:themeColor="text1"/>
              <w:sz w:val="24"/>
              <w:szCs w:val="24"/>
            </w:rPr>
            <w:fldChar w:fldCharType="separate"/>
          </w:r>
          <w:r w:rsidRPr="00914F08">
            <w:rPr>
              <w:rStyle w:val="nfasissutil"/>
              <w:rFonts w:ascii="Arial" w:hAnsi="Arial" w:cs="Arial"/>
              <w:noProof/>
              <w:color w:val="000000" w:themeColor="text1"/>
              <w:sz w:val="24"/>
              <w:szCs w:val="24"/>
            </w:rPr>
            <w:t xml:space="preserve"> </w:t>
          </w:r>
          <w:r w:rsidRPr="00914F08">
            <w:rPr>
              <w:rFonts w:ascii="Arial" w:hAnsi="Arial" w:cs="Arial"/>
              <w:noProof/>
              <w:color w:val="000000" w:themeColor="text1"/>
              <w:sz w:val="24"/>
              <w:szCs w:val="24"/>
            </w:rPr>
            <w:t>(2014)</w:t>
          </w:r>
          <w:r w:rsidRPr="00914F08">
            <w:rPr>
              <w:rStyle w:val="nfasissutil"/>
              <w:rFonts w:ascii="Arial" w:hAnsi="Arial" w:cs="Arial"/>
              <w:color w:val="000000" w:themeColor="text1"/>
              <w:sz w:val="24"/>
              <w:szCs w:val="24"/>
            </w:rPr>
            <w:fldChar w:fldCharType="end"/>
          </w:r>
        </w:sdtContent>
      </w:sdt>
      <w:r w:rsidRPr="00914F08">
        <w:rPr>
          <w:rStyle w:val="nfasissutil"/>
          <w:rFonts w:ascii="Arial" w:hAnsi="Arial" w:cs="Arial"/>
          <w:color w:val="000000" w:themeColor="text1"/>
          <w:sz w:val="24"/>
          <w:szCs w:val="24"/>
        </w:rPr>
        <w:t>, e</w:t>
      </w:r>
      <w:r w:rsidRPr="00914F08">
        <w:rPr>
          <w:rFonts w:ascii="Arial" w:hAnsi="Arial" w:cs="Arial"/>
          <w:color w:val="000000" w:themeColor="text1"/>
          <w:sz w:val="24"/>
          <w:szCs w:val="24"/>
        </w:rPr>
        <w:t xml:space="preserve">n el mercado mundial de bebidas energéticas se ha evidenciado un crecimiento promedio en su volumen anual de ventas, del 14% aproximadamente. Es tan alto el consumo, que las ventas anuales ascienden a aproximadamente a 10 millones de litros de estos productos. En </w:t>
      </w:r>
      <w:r w:rsidRPr="00914F08">
        <w:rPr>
          <w:rStyle w:val="nfasissutil"/>
          <w:rFonts w:ascii="Arial" w:hAnsi="Arial" w:cs="Arial"/>
          <w:color w:val="000000" w:themeColor="text1"/>
          <w:sz w:val="24"/>
          <w:szCs w:val="24"/>
        </w:rPr>
        <w:t xml:space="preserve">Estados Unidos, el 35-50% de los adolescentes y jóvenes consumen habitualmente bebidas energizantes, el ingrediente principal es la cafeína, sin embargo, existen bebidas que contienen cantidades variables de taurina y se complementan con otras sustancias como edulcorantes, vitaminas y fitofármacos (algunos con acción sobre el sistema nervioso central como la yohimbina, la guaraná y la teobromina). </w:t>
      </w:r>
      <w:r w:rsidRPr="00914F08">
        <w:rPr>
          <w:rFonts w:ascii="Arial" w:hAnsi="Arial" w:cs="Arial"/>
          <w:color w:val="000000" w:themeColor="text1"/>
          <w:sz w:val="24"/>
          <w:szCs w:val="24"/>
        </w:rPr>
        <w:t>En Ecuador, se estima un consumo de 155 mil latas mensuales, representando el 1% del mercado global de las bebidas energéticas. Dentro de las bebidas energizantes con mayor demanda están: V220 y Red Bull (contienen cafeína y taurina), y Vive 100 y Monster Energy (contienen cafeína, taurina y otros componentes).</w:t>
      </w:r>
    </w:p>
    <w:p w14:paraId="6F825454" w14:textId="0B5F4102" w:rsidR="00AE064D" w:rsidRPr="00914F08" w:rsidRDefault="00AE064D" w:rsidP="00AE064D">
      <w:pPr>
        <w:autoSpaceDE w:val="0"/>
        <w:autoSpaceDN w:val="0"/>
        <w:adjustRightInd w:val="0"/>
        <w:spacing w:after="0" w:line="240" w:lineRule="auto"/>
        <w:ind w:firstLine="284"/>
        <w:jc w:val="both"/>
        <w:rPr>
          <w:rStyle w:val="nfasissutil"/>
          <w:rFonts w:ascii="Arial" w:hAnsi="Arial" w:cs="Arial"/>
          <w:color w:val="000000" w:themeColor="text1"/>
          <w:sz w:val="24"/>
          <w:szCs w:val="24"/>
        </w:rPr>
      </w:pPr>
      <w:r w:rsidRPr="00914F08">
        <w:rPr>
          <w:rFonts w:ascii="Arial" w:hAnsi="Arial" w:cs="Arial"/>
          <w:iCs/>
          <w:sz w:val="24"/>
          <w:szCs w:val="24"/>
        </w:rPr>
        <w:t xml:space="preserve">Por otra parte, se han ido desarrollando fármacos bajo el nombre de potenciadores cognitivos, que a lo largo de los años han ido ganando campo en el mercado mundial. En un estudio realizado por Oficina de las Naciones Unidas Contra la Droga y el Delito (UNODC) (2016), se encontró que fármacos como ritalín, </w:t>
      </w:r>
      <w:proofErr w:type="spellStart"/>
      <w:r w:rsidRPr="00914F08">
        <w:rPr>
          <w:rFonts w:ascii="Arial" w:hAnsi="Arial" w:cs="Arial"/>
          <w:iCs/>
          <w:sz w:val="24"/>
          <w:szCs w:val="24"/>
        </w:rPr>
        <w:t>cidrin</w:t>
      </w:r>
      <w:proofErr w:type="spellEnd"/>
      <w:r w:rsidRPr="00914F08">
        <w:rPr>
          <w:rFonts w:ascii="Arial" w:hAnsi="Arial" w:cs="Arial"/>
          <w:iCs/>
          <w:sz w:val="24"/>
          <w:szCs w:val="24"/>
        </w:rPr>
        <w:t xml:space="preserve">, </w:t>
      </w:r>
      <w:proofErr w:type="spellStart"/>
      <w:r w:rsidRPr="00914F08">
        <w:rPr>
          <w:rFonts w:ascii="Arial" w:hAnsi="Arial" w:cs="Arial"/>
          <w:iCs/>
          <w:sz w:val="24"/>
          <w:szCs w:val="24"/>
        </w:rPr>
        <w:t>fenproporex</w:t>
      </w:r>
      <w:proofErr w:type="spellEnd"/>
      <w:r w:rsidRPr="00914F08">
        <w:rPr>
          <w:rFonts w:ascii="Arial" w:hAnsi="Arial" w:cs="Arial"/>
          <w:iCs/>
          <w:sz w:val="24"/>
          <w:szCs w:val="24"/>
        </w:rPr>
        <w:t xml:space="preserve"> y otras, que están sujetas a un estricto control médico y farmacéutico en su prescripción y venta, tienden a ser utilizadas sin una indicación médica, lo que lo convierte en un problema de salud pública </w:t>
      </w:r>
      <w:r w:rsidRPr="00914F08">
        <w:rPr>
          <w:rFonts w:ascii="Arial" w:hAnsi="Arial" w:cs="Arial"/>
          <w:color w:val="000000" w:themeColor="text1"/>
          <w:sz w:val="24"/>
          <w:szCs w:val="24"/>
        </w:rPr>
        <w:t xml:space="preserve">por el riesgo de presentar efectos secundarios a corto, mediano y largo plazo sobre la salud de quienes las consumen. Al respecto, Carrillo </w:t>
      </w:r>
      <w:sdt>
        <w:sdtPr>
          <w:rPr>
            <w:rStyle w:val="nfasissutil"/>
            <w:rFonts w:ascii="Arial" w:hAnsi="Arial" w:cs="Arial"/>
            <w:i w:val="0"/>
            <w:color w:val="000000" w:themeColor="text1"/>
            <w:sz w:val="24"/>
            <w:szCs w:val="24"/>
          </w:rPr>
          <w:id w:val="-854650625"/>
          <w:citation/>
        </w:sdtPr>
        <w:sdtEndPr>
          <w:rPr>
            <w:rStyle w:val="nfasissutil"/>
          </w:rPr>
        </w:sdtEndPr>
        <w:sdtContent>
          <w:r w:rsidRPr="00914F08">
            <w:rPr>
              <w:rStyle w:val="nfasissutil"/>
              <w:rFonts w:ascii="Arial" w:hAnsi="Arial" w:cs="Arial"/>
              <w:i w:val="0"/>
              <w:color w:val="000000" w:themeColor="text1"/>
              <w:sz w:val="24"/>
              <w:szCs w:val="24"/>
            </w:rPr>
            <w:fldChar w:fldCharType="begin"/>
          </w:r>
          <w:r w:rsidRPr="00914F08">
            <w:rPr>
              <w:rStyle w:val="nfasissutil"/>
              <w:rFonts w:ascii="Arial" w:hAnsi="Arial" w:cs="Arial"/>
              <w:color w:val="000000" w:themeColor="text1"/>
              <w:sz w:val="24"/>
              <w:szCs w:val="24"/>
            </w:rPr>
            <w:instrText xml:space="preserve">CITATION Car131 \n  \t  \l 12298 </w:instrText>
          </w:r>
          <w:r w:rsidRPr="00914F08">
            <w:rPr>
              <w:rStyle w:val="nfasissutil"/>
              <w:rFonts w:ascii="Arial" w:hAnsi="Arial" w:cs="Arial"/>
              <w:i w:val="0"/>
              <w:color w:val="000000" w:themeColor="text1"/>
              <w:sz w:val="24"/>
              <w:szCs w:val="24"/>
            </w:rPr>
            <w:fldChar w:fldCharType="separate"/>
          </w:r>
          <w:r w:rsidRPr="00914F08">
            <w:rPr>
              <w:rStyle w:val="nfasissutil"/>
              <w:rFonts w:ascii="Arial" w:hAnsi="Arial" w:cs="Arial"/>
              <w:noProof/>
              <w:color w:val="000000" w:themeColor="text1"/>
              <w:sz w:val="24"/>
              <w:szCs w:val="24"/>
            </w:rPr>
            <w:t xml:space="preserve"> </w:t>
          </w:r>
          <w:r w:rsidRPr="00914F08">
            <w:rPr>
              <w:rFonts w:ascii="Arial" w:hAnsi="Arial" w:cs="Arial"/>
              <w:noProof/>
              <w:color w:val="000000" w:themeColor="text1"/>
              <w:sz w:val="24"/>
              <w:szCs w:val="24"/>
            </w:rPr>
            <w:t>(2013)</w:t>
          </w:r>
          <w:r w:rsidRPr="00914F08">
            <w:rPr>
              <w:rStyle w:val="nfasissutil"/>
              <w:rFonts w:ascii="Arial" w:hAnsi="Arial" w:cs="Arial"/>
              <w:i w:val="0"/>
              <w:color w:val="000000" w:themeColor="text1"/>
              <w:sz w:val="24"/>
              <w:szCs w:val="24"/>
            </w:rPr>
            <w:fldChar w:fldCharType="end"/>
          </w:r>
        </w:sdtContent>
      </w:sdt>
      <w:r w:rsidRPr="00914F08">
        <w:rPr>
          <w:rStyle w:val="nfasissutil"/>
          <w:rFonts w:ascii="Arial" w:hAnsi="Arial" w:cs="Arial"/>
          <w:color w:val="000000" w:themeColor="text1"/>
          <w:sz w:val="24"/>
          <w:szCs w:val="24"/>
        </w:rPr>
        <w:t xml:space="preserve"> determinó en Ecuador que la prevalencia del consumo de fármacos psicoestimulantes alguna vez en la vida con prescripción médica, fue del 2,4% entre los universitarios ecuatorianos, mientras que la prevalencia de consumo de fármacos psicoestimulantes sin prescripción médica alguna vez en la vida registró el 1,4%.  Los componentes de los fármacos que presentaron el mayor uso fueron los que contienen cafeína y modafinilo.</w:t>
      </w:r>
    </w:p>
    <w:p w14:paraId="30C87E01" w14:textId="77777777" w:rsidR="00705A92" w:rsidRPr="00914F08" w:rsidRDefault="00AE064D" w:rsidP="00705A92">
      <w:pPr>
        <w:autoSpaceDE w:val="0"/>
        <w:autoSpaceDN w:val="0"/>
        <w:adjustRightInd w:val="0"/>
        <w:spacing w:after="0" w:line="240" w:lineRule="auto"/>
        <w:ind w:firstLine="284"/>
        <w:jc w:val="both"/>
        <w:rPr>
          <w:rStyle w:val="nfasissutil"/>
          <w:rFonts w:ascii="Arial" w:hAnsi="Arial" w:cs="Arial"/>
          <w:i w:val="0"/>
          <w:color w:val="000000" w:themeColor="text1"/>
          <w:sz w:val="24"/>
          <w:szCs w:val="24"/>
        </w:rPr>
      </w:pPr>
      <w:r w:rsidRPr="00914F08">
        <w:rPr>
          <w:rStyle w:val="nfasissutil"/>
          <w:rFonts w:ascii="Arial" w:hAnsi="Arial" w:cs="Arial"/>
          <w:color w:val="000000" w:themeColor="text1"/>
          <w:sz w:val="24"/>
          <w:szCs w:val="24"/>
        </w:rPr>
        <w:t xml:space="preserve">Varios estudios realizados en países como Estados Unidos y Chile afirman que el  uso de estas sustancias psicoestimulantes ha ido creciendo de manera ascendente y silenciosa,  </w:t>
      </w:r>
      <w:proofErr w:type="spellStart"/>
      <w:r w:rsidRPr="00914F08">
        <w:rPr>
          <w:rStyle w:val="nfasissutil"/>
          <w:rFonts w:ascii="Arial" w:hAnsi="Arial" w:cs="Arial"/>
          <w:color w:val="000000" w:themeColor="text1"/>
          <w:sz w:val="24"/>
          <w:szCs w:val="24"/>
        </w:rPr>
        <w:t>Kudlow</w:t>
      </w:r>
      <w:proofErr w:type="spellEnd"/>
      <w:r w:rsidRPr="00914F08">
        <w:rPr>
          <w:rStyle w:val="nfasissutil"/>
          <w:rFonts w:ascii="Arial" w:hAnsi="Arial" w:cs="Arial"/>
          <w:color w:val="000000" w:themeColor="text1"/>
          <w:sz w:val="24"/>
          <w:szCs w:val="24"/>
        </w:rPr>
        <w:t xml:space="preserve"> </w:t>
      </w:r>
      <w:sdt>
        <w:sdtPr>
          <w:rPr>
            <w:rStyle w:val="nfasissutil"/>
            <w:rFonts w:ascii="Arial" w:hAnsi="Arial" w:cs="Arial"/>
            <w:i w:val="0"/>
            <w:color w:val="000000" w:themeColor="text1"/>
            <w:sz w:val="24"/>
            <w:szCs w:val="24"/>
          </w:rPr>
          <w:id w:val="-1018694703"/>
          <w:citation/>
        </w:sdtPr>
        <w:sdtEndPr>
          <w:rPr>
            <w:rStyle w:val="nfasissutil"/>
          </w:rPr>
        </w:sdtEndPr>
        <w:sdtContent>
          <w:r w:rsidRPr="00914F08">
            <w:rPr>
              <w:rStyle w:val="nfasissutil"/>
              <w:rFonts w:ascii="Arial" w:hAnsi="Arial" w:cs="Arial"/>
              <w:i w:val="0"/>
              <w:color w:val="000000" w:themeColor="text1"/>
              <w:sz w:val="24"/>
              <w:szCs w:val="24"/>
            </w:rPr>
            <w:fldChar w:fldCharType="begin"/>
          </w:r>
          <w:r w:rsidRPr="00914F08">
            <w:rPr>
              <w:rStyle w:val="nfasissutil"/>
              <w:rFonts w:ascii="Arial" w:hAnsi="Arial" w:cs="Arial"/>
              <w:color w:val="000000" w:themeColor="text1"/>
              <w:sz w:val="24"/>
              <w:szCs w:val="24"/>
            </w:rPr>
            <w:instrText xml:space="preserve">CITATION Kud15 \n  \t  \l 12298 </w:instrText>
          </w:r>
          <w:r w:rsidRPr="00914F08">
            <w:rPr>
              <w:rStyle w:val="nfasissutil"/>
              <w:rFonts w:ascii="Arial" w:hAnsi="Arial" w:cs="Arial"/>
              <w:i w:val="0"/>
              <w:color w:val="000000" w:themeColor="text1"/>
              <w:sz w:val="24"/>
              <w:szCs w:val="24"/>
            </w:rPr>
            <w:fldChar w:fldCharType="separate"/>
          </w:r>
          <w:r w:rsidRPr="00914F08">
            <w:rPr>
              <w:rFonts w:ascii="Arial" w:hAnsi="Arial" w:cs="Arial"/>
              <w:noProof/>
              <w:color w:val="000000" w:themeColor="text1"/>
              <w:sz w:val="24"/>
              <w:szCs w:val="24"/>
            </w:rPr>
            <w:t>(2015)</w:t>
          </w:r>
          <w:r w:rsidRPr="00914F08">
            <w:rPr>
              <w:rStyle w:val="nfasissutil"/>
              <w:rFonts w:ascii="Arial" w:hAnsi="Arial" w:cs="Arial"/>
              <w:i w:val="0"/>
              <w:color w:val="000000" w:themeColor="text1"/>
              <w:sz w:val="24"/>
              <w:szCs w:val="24"/>
            </w:rPr>
            <w:fldChar w:fldCharType="end"/>
          </w:r>
        </w:sdtContent>
      </w:sdt>
      <w:r w:rsidRPr="00914F08">
        <w:rPr>
          <w:rStyle w:val="nfasissutil"/>
          <w:rFonts w:ascii="Arial" w:hAnsi="Arial" w:cs="Arial"/>
          <w:color w:val="000000" w:themeColor="text1"/>
          <w:sz w:val="24"/>
          <w:szCs w:val="24"/>
        </w:rPr>
        <w:t xml:space="preserve">, señala que el grupo de mayor consumo han sido los jóvenes universitarios, así pues el 92,5% de los encuestados consumen al menos una sustancia psicoestimulantes para aumentar el rendimiento académico. La sustancia usada con mayor frecuencia fue el café (80%), en cuanto a los fármacos, el más usado fue el modafinilo (29,2%). Las </w:t>
      </w:r>
      <w:r w:rsidRPr="00914F08">
        <w:rPr>
          <w:rStyle w:val="nfasissutil"/>
          <w:rFonts w:ascii="Arial" w:hAnsi="Arial" w:cs="Arial"/>
          <w:color w:val="000000" w:themeColor="text1"/>
          <w:sz w:val="24"/>
          <w:szCs w:val="24"/>
        </w:rPr>
        <w:lastRenderedPageBreak/>
        <w:t>razones de consumo fueron ayudar a mantener la concentración en un 65,2%, ayudar a estudiar en un 59,8%, y en un 47,8% aumentar el estado de alerta.</w:t>
      </w:r>
    </w:p>
    <w:p w14:paraId="282E0FA6" w14:textId="77777777" w:rsidR="00705A92" w:rsidRPr="00914F08" w:rsidRDefault="00AE064D" w:rsidP="00705A92">
      <w:pPr>
        <w:autoSpaceDE w:val="0"/>
        <w:autoSpaceDN w:val="0"/>
        <w:adjustRightInd w:val="0"/>
        <w:spacing w:after="0" w:line="240" w:lineRule="auto"/>
        <w:ind w:firstLine="284"/>
        <w:jc w:val="both"/>
        <w:rPr>
          <w:rFonts w:ascii="Arial" w:hAnsi="Arial" w:cs="Arial"/>
          <w:color w:val="000000" w:themeColor="text1"/>
          <w:sz w:val="24"/>
          <w:szCs w:val="24"/>
        </w:rPr>
      </w:pPr>
      <w:r w:rsidRPr="00914F08">
        <w:rPr>
          <w:rFonts w:ascii="Arial" w:hAnsi="Arial" w:cs="Arial"/>
          <w:color w:val="000000" w:themeColor="text1"/>
          <w:sz w:val="24"/>
          <w:szCs w:val="24"/>
        </w:rPr>
        <w:t xml:space="preserve">En la actualidad, la UNODC </w:t>
      </w:r>
      <w:sdt>
        <w:sdtPr>
          <w:rPr>
            <w:rFonts w:ascii="Arial" w:hAnsi="Arial" w:cs="Arial"/>
            <w:color w:val="000000" w:themeColor="text1"/>
            <w:sz w:val="24"/>
            <w:szCs w:val="24"/>
          </w:rPr>
          <w:id w:val="-1973736136"/>
          <w:citation/>
        </w:sdtPr>
        <w:sdtEndPr/>
        <w:sdtContent>
          <w:r w:rsidRPr="00914F08">
            <w:rPr>
              <w:rFonts w:ascii="Arial" w:hAnsi="Arial" w:cs="Arial"/>
              <w:color w:val="000000" w:themeColor="text1"/>
              <w:sz w:val="24"/>
              <w:szCs w:val="24"/>
            </w:rPr>
            <w:fldChar w:fldCharType="begin"/>
          </w:r>
          <w:r w:rsidRPr="00914F08">
            <w:rPr>
              <w:rFonts w:ascii="Arial" w:hAnsi="Arial" w:cs="Arial"/>
              <w:color w:val="000000" w:themeColor="text1"/>
              <w:sz w:val="24"/>
              <w:szCs w:val="24"/>
            </w:rPr>
            <w:instrText xml:space="preserve">CITATION Ofi17 \n  \t  \l 12298 </w:instrText>
          </w:r>
          <w:r w:rsidRPr="00914F08">
            <w:rPr>
              <w:rFonts w:ascii="Arial" w:hAnsi="Arial" w:cs="Arial"/>
              <w:color w:val="000000" w:themeColor="text1"/>
              <w:sz w:val="24"/>
              <w:szCs w:val="24"/>
            </w:rPr>
            <w:fldChar w:fldCharType="separate"/>
          </w:r>
          <w:r w:rsidRPr="00914F08">
            <w:rPr>
              <w:rFonts w:ascii="Arial" w:hAnsi="Arial" w:cs="Arial"/>
              <w:noProof/>
              <w:color w:val="000000" w:themeColor="text1"/>
              <w:sz w:val="24"/>
              <w:szCs w:val="24"/>
            </w:rPr>
            <w:t>(2017)</w:t>
          </w:r>
          <w:r w:rsidRPr="00914F08">
            <w:rPr>
              <w:rFonts w:ascii="Arial" w:hAnsi="Arial" w:cs="Arial"/>
              <w:color w:val="000000" w:themeColor="text1"/>
              <w:sz w:val="24"/>
              <w:szCs w:val="24"/>
            </w:rPr>
            <w:fldChar w:fldCharType="end"/>
          </w:r>
        </w:sdtContent>
      </w:sdt>
      <w:r w:rsidRPr="00914F08">
        <w:rPr>
          <w:rFonts w:ascii="Arial" w:hAnsi="Arial" w:cs="Arial"/>
          <w:color w:val="000000" w:themeColor="text1"/>
          <w:sz w:val="24"/>
          <w:szCs w:val="24"/>
        </w:rPr>
        <w:t xml:space="preserve"> determinó que existe un alto  consumo de psicoestimulantes, entre los que se incluye a la cafeína, las bebidas energizantes y los fármacos, por parte de toda la población y  comercializados gran escala, por </w:t>
      </w:r>
      <w:r w:rsidRPr="00914F08">
        <w:rPr>
          <w:rStyle w:val="nfasissutil"/>
          <w:rFonts w:ascii="Arial" w:eastAsiaTheme="majorEastAsia" w:hAnsi="Arial" w:cs="Arial"/>
          <w:color w:val="000000" w:themeColor="text1"/>
          <w:sz w:val="24"/>
          <w:szCs w:val="24"/>
        </w:rPr>
        <w:t xml:space="preserve">la industria, </w:t>
      </w:r>
      <w:r w:rsidRPr="00914F08">
        <w:rPr>
          <w:rFonts w:ascii="Arial" w:hAnsi="Arial" w:cs="Arial"/>
          <w:color w:val="000000" w:themeColor="text1"/>
          <w:sz w:val="24"/>
          <w:szCs w:val="24"/>
        </w:rPr>
        <w:t xml:space="preserve"> pero </w:t>
      </w:r>
      <w:r w:rsidRPr="00914F08">
        <w:rPr>
          <w:rStyle w:val="nfasissutil"/>
          <w:rFonts w:ascii="Arial" w:eastAsiaTheme="majorEastAsia" w:hAnsi="Arial" w:cs="Arial"/>
          <w:color w:val="000000" w:themeColor="text1"/>
          <w:sz w:val="24"/>
          <w:szCs w:val="24"/>
        </w:rPr>
        <w:t>el grupo de mayor demanda, son los</w:t>
      </w:r>
      <w:r w:rsidRPr="00914F08">
        <w:rPr>
          <w:rFonts w:ascii="Arial" w:hAnsi="Arial" w:cs="Arial"/>
          <w:color w:val="000000" w:themeColor="text1"/>
          <w:sz w:val="24"/>
          <w:szCs w:val="24"/>
        </w:rPr>
        <w:t xml:space="preserve"> jóvenes que cursan algún  grado académico o siguen disciplinas deportivas  y desconocen tanto la composición como las desventajas de  ingerir  grandes cantidades de estos productos.</w:t>
      </w:r>
    </w:p>
    <w:p w14:paraId="72670046" w14:textId="77777777" w:rsidR="00705A92" w:rsidRPr="00914F08" w:rsidRDefault="00AE064D" w:rsidP="00705A92">
      <w:pPr>
        <w:autoSpaceDE w:val="0"/>
        <w:autoSpaceDN w:val="0"/>
        <w:adjustRightInd w:val="0"/>
        <w:spacing w:after="0" w:line="240" w:lineRule="auto"/>
        <w:ind w:firstLine="284"/>
        <w:jc w:val="both"/>
        <w:rPr>
          <w:rFonts w:ascii="Arial" w:hAnsi="Arial" w:cs="Arial"/>
          <w:color w:val="000000" w:themeColor="text1"/>
          <w:sz w:val="24"/>
          <w:szCs w:val="24"/>
        </w:rPr>
      </w:pPr>
      <w:r w:rsidRPr="00914F08">
        <w:rPr>
          <w:rFonts w:ascii="Arial" w:hAnsi="Arial" w:cs="Arial"/>
          <w:color w:val="000000" w:themeColor="text1"/>
          <w:sz w:val="24"/>
          <w:szCs w:val="24"/>
        </w:rPr>
        <w:t xml:space="preserve">Según Castro &amp; Orellana </w:t>
      </w:r>
      <w:sdt>
        <w:sdtPr>
          <w:rPr>
            <w:rFonts w:ascii="Arial" w:hAnsi="Arial" w:cs="Arial"/>
            <w:color w:val="000000" w:themeColor="text1"/>
            <w:sz w:val="24"/>
            <w:szCs w:val="24"/>
          </w:rPr>
          <w:id w:val="-532504781"/>
          <w:citation/>
        </w:sdtPr>
        <w:sdtEndPr/>
        <w:sdtContent>
          <w:r w:rsidRPr="00914F08">
            <w:rPr>
              <w:rFonts w:ascii="Arial" w:hAnsi="Arial" w:cs="Arial"/>
              <w:color w:val="000000" w:themeColor="text1"/>
              <w:sz w:val="24"/>
              <w:szCs w:val="24"/>
            </w:rPr>
            <w:fldChar w:fldCharType="begin"/>
          </w:r>
          <w:r w:rsidRPr="00914F08">
            <w:rPr>
              <w:rFonts w:ascii="Arial" w:hAnsi="Arial" w:cs="Arial"/>
              <w:color w:val="000000" w:themeColor="text1"/>
              <w:sz w:val="24"/>
              <w:szCs w:val="24"/>
            </w:rPr>
            <w:instrText xml:space="preserve">CITATION Cas17 \n  \t  \l 12298 </w:instrText>
          </w:r>
          <w:r w:rsidRPr="00914F08">
            <w:rPr>
              <w:rFonts w:ascii="Arial" w:hAnsi="Arial" w:cs="Arial"/>
              <w:color w:val="000000" w:themeColor="text1"/>
              <w:sz w:val="24"/>
              <w:szCs w:val="24"/>
            </w:rPr>
            <w:fldChar w:fldCharType="separate"/>
          </w:r>
          <w:r w:rsidRPr="00914F08">
            <w:rPr>
              <w:rFonts w:ascii="Arial" w:hAnsi="Arial" w:cs="Arial"/>
              <w:noProof/>
              <w:color w:val="000000" w:themeColor="text1"/>
              <w:sz w:val="24"/>
              <w:szCs w:val="24"/>
            </w:rPr>
            <w:t>(2017)</w:t>
          </w:r>
          <w:r w:rsidRPr="00914F08">
            <w:rPr>
              <w:rFonts w:ascii="Arial" w:hAnsi="Arial" w:cs="Arial"/>
              <w:color w:val="000000" w:themeColor="text1"/>
              <w:sz w:val="24"/>
              <w:szCs w:val="24"/>
            </w:rPr>
            <w:fldChar w:fldCharType="end"/>
          </w:r>
        </w:sdtContent>
      </w:sdt>
      <w:r w:rsidRPr="00914F08">
        <w:rPr>
          <w:rFonts w:ascii="Arial" w:hAnsi="Arial" w:cs="Arial"/>
          <w:color w:val="000000" w:themeColor="text1"/>
          <w:sz w:val="24"/>
          <w:szCs w:val="24"/>
        </w:rPr>
        <w:t xml:space="preserve">, en la Pontificia Universidad Católica del Ecuador se reportó que en el año 2015, el 62.4% de los estudiantes universitarios consumieron sustancias psicoestimulantes, la edad promedio fue de 20.9 años; en términos generales, la sustancia con mayor prevalencia de consumo fue el café con un 52% y dentro de los fármacos el modafinilo con un 14%. El motivo más frecuente para el consumo fue estudiar para un examen (61,7%), el objetivo principal de la utilización de estas sustancias fue mantenerse alerta (38,5%). Los autores afirman que en Ecuador no existen normativas para el uso de sustancias psicoestimulantes, únicamente se exige advertir sobre el consumo no recomendado de bebidas energéticas que contengan cafeína, taurina y/o </w:t>
      </w:r>
      <w:proofErr w:type="spellStart"/>
      <w:r w:rsidRPr="00914F08">
        <w:rPr>
          <w:rFonts w:ascii="Arial" w:hAnsi="Arial" w:cs="Arial"/>
          <w:color w:val="000000" w:themeColor="text1"/>
          <w:sz w:val="24"/>
          <w:szCs w:val="24"/>
        </w:rPr>
        <w:t>glucoronolactona</w:t>
      </w:r>
      <w:proofErr w:type="spellEnd"/>
      <w:r w:rsidRPr="00914F08">
        <w:rPr>
          <w:rFonts w:ascii="Arial" w:hAnsi="Arial" w:cs="Arial"/>
          <w:color w:val="000000" w:themeColor="text1"/>
          <w:sz w:val="24"/>
          <w:szCs w:val="24"/>
        </w:rPr>
        <w:t>, así como la presencia de transgénicos.</w:t>
      </w:r>
      <w:r w:rsidRPr="00914F08">
        <w:rPr>
          <w:rFonts w:ascii="Arial" w:hAnsi="Arial" w:cs="Arial"/>
          <w:color w:val="000000" w:themeColor="text1"/>
          <w:sz w:val="24"/>
          <w:szCs w:val="24"/>
        </w:rPr>
        <w:tab/>
        <w:t xml:space="preserve">En este sentido, países europeos como Francia, Noruega y Dinamarca, se venden las sustancias psicoestimulantes únicamente en farmacias, conforme afirman </w:t>
      </w:r>
      <w:proofErr w:type="spellStart"/>
      <w:r w:rsidRPr="00914F08">
        <w:rPr>
          <w:rFonts w:ascii="Arial" w:hAnsi="Arial" w:cs="Arial"/>
          <w:color w:val="000000" w:themeColor="text1"/>
          <w:sz w:val="24"/>
          <w:szCs w:val="24"/>
        </w:rPr>
        <w:t>Sacoto</w:t>
      </w:r>
      <w:proofErr w:type="spellEnd"/>
      <w:r w:rsidRPr="00914F08">
        <w:rPr>
          <w:rFonts w:ascii="Arial" w:hAnsi="Arial" w:cs="Arial"/>
          <w:color w:val="000000" w:themeColor="text1"/>
          <w:sz w:val="24"/>
          <w:szCs w:val="24"/>
        </w:rPr>
        <w:t xml:space="preserve"> </w:t>
      </w:r>
      <w:r w:rsidR="00705A92" w:rsidRPr="00914F08">
        <w:rPr>
          <w:rFonts w:ascii="Arial" w:hAnsi="Arial" w:cs="Arial"/>
          <w:color w:val="000000" w:themeColor="text1"/>
          <w:sz w:val="24"/>
          <w:szCs w:val="24"/>
        </w:rPr>
        <w:t>y</w:t>
      </w:r>
      <w:r w:rsidRPr="00914F08">
        <w:rPr>
          <w:rFonts w:ascii="Arial" w:hAnsi="Arial" w:cs="Arial"/>
          <w:color w:val="000000" w:themeColor="text1"/>
          <w:sz w:val="24"/>
          <w:szCs w:val="24"/>
        </w:rPr>
        <w:t xml:space="preserve"> Freire  </w:t>
      </w:r>
      <w:sdt>
        <w:sdtPr>
          <w:rPr>
            <w:rFonts w:ascii="Arial" w:hAnsi="Arial" w:cs="Arial"/>
            <w:color w:val="000000" w:themeColor="text1"/>
            <w:sz w:val="24"/>
            <w:szCs w:val="24"/>
          </w:rPr>
          <w:id w:val="-943689336"/>
          <w:citation/>
        </w:sdtPr>
        <w:sdtEndPr/>
        <w:sdtContent>
          <w:r w:rsidRPr="00914F08">
            <w:rPr>
              <w:rFonts w:ascii="Arial" w:hAnsi="Arial" w:cs="Arial"/>
              <w:color w:val="000000" w:themeColor="text1"/>
              <w:sz w:val="24"/>
              <w:szCs w:val="24"/>
            </w:rPr>
            <w:fldChar w:fldCharType="begin"/>
          </w:r>
          <w:r w:rsidRPr="00914F08">
            <w:rPr>
              <w:rFonts w:ascii="Arial" w:hAnsi="Arial" w:cs="Arial"/>
              <w:color w:val="000000" w:themeColor="text1"/>
              <w:sz w:val="24"/>
              <w:szCs w:val="24"/>
            </w:rPr>
            <w:instrText xml:space="preserve">CITATION Sac17 \n  \t  \l 12298 </w:instrText>
          </w:r>
          <w:r w:rsidRPr="00914F08">
            <w:rPr>
              <w:rFonts w:ascii="Arial" w:hAnsi="Arial" w:cs="Arial"/>
              <w:color w:val="000000" w:themeColor="text1"/>
              <w:sz w:val="24"/>
              <w:szCs w:val="24"/>
            </w:rPr>
            <w:fldChar w:fldCharType="separate"/>
          </w:r>
          <w:r w:rsidRPr="00914F08">
            <w:rPr>
              <w:rFonts w:ascii="Arial" w:hAnsi="Arial" w:cs="Arial"/>
              <w:noProof/>
              <w:color w:val="000000" w:themeColor="text1"/>
              <w:sz w:val="24"/>
              <w:szCs w:val="24"/>
            </w:rPr>
            <w:t>(2017)</w:t>
          </w:r>
          <w:r w:rsidRPr="00914F08">
            <w:rPr>
              <w:rFonts w:ascii="Arial" w:hAnsi="Arial" w:cs="Arial"/>
              <w:color w:val="000000" w:themeColor="text1"/>
              <w:sz w:val="24"/>
              <w:szCs w:val="24"/>
            </w:rPr>
            <w:fldChar w:fldCharType="end"/>
          </w:r>
        </w:sdtContent>
      </w:sdt>
      <w:r w:rsidRPr="00914F08">
        <w:rPr>
          <w:rFonts w:ascii="Arial" w:hAnsi="Arial" w:cs="Arial"/>
          <w:color w:val="000000" w:themeColor="text1"/>
          <w:sz w:val="24"/>
          <w:szCs w:val="24"/>
        </w:rPr>
        <w:t>.</w:t>
      </w:r>
    </w:p>
    <w:p w14:paraId="61BFB14D" w14:textId="77777777" w:rsidR="00705A92" w:rsidRPr="00914F08" w:rsidRDefault="00AE064D" w:rsidP="00705A92">
      <w:pPr>
        <w:autoSpaceDE w:val="0"/>
        <w:autoSpaceDN w:val="0"/>
        <w:adjustRightInd w:val="0"/>
        <w:spacing w:after="0" w:line="240" w:lineRule="auto"/>
        <w:ind w:firstLine="284"/>
        <w:jc w:val="both"/>
        <w:rPr>
          <w:rFonts w:ascii="Arial" w:hAnsi="Arial" w:cs="Arial"/>
          <w:color w:val="000000" w:themeColor="text1"/>
          <w:sz w:val="24"/>
          <w:szCs w:val="24"/>
          <w:shd w:val="clear" w:color="auto" w:fill="FFFFFF"/>
        </w:rPr>
      </w:pPr>
      <w:r w:rsidRPr="00914F08">
        <w:rPr>
          <w:rFonts w:ascii="Arial" w:hAnsi="Arial" w:cs="Arial"/>
          <w:color w:val="000000" w:themeColor="text1"/>
          <w:sz w:val="24"/>
          <w:szCs w:val="24"/>
          <w:shd w:val="clear" w:color="auto" w:fill="FFFFFF"/>
        </w:rPr>
        <w:t>El consumo inadecuado de estas sustancias puede provocar efectos adversos sobre la salud del ser humano, como aumento de la tensión arterial, cefalea, diarrea, dispepsia, vómito, taquiarritmias y dislipidemias, infarto cardíaco, etc.; por presencia de vaso espasmo coronario. Estos efectos adversos, generan inquietud dentro del contexto de salud, puesto que los efectos adversos a largo plazo aún no han sido establecidos claramente.</w:t>
      </w:r>
    </w:p>
    <w:p w14:paraId="5E551B20" w14:textId="77777777" w:rsidR="00705A92" w:rsidRPr="00914F08" w:rsidRDefault="00AE064D" w:rsidP="00705A92">
      <w:pPr>
        <w:autoSpaceDE w:val="0"/>
        <w:autoSpaceDN w:val="0"/>
        <w:adjustRightInd w:val="0"/>
        <w:spacing w:after="0" w:line="240" w:lineRule="auto"/>
        <w:ind w:firstLine="284"/>
        <w:jc w:val="both"/>
        <w:rPr>
          <w:rFonts w:ascii="Arial" w:hAnsi="Arial" w:cs="Arial"/>
          <w:color w:val="000000" w:themeColor="text1"/>
          <w:sz w:val="24"/>
          <w:szCs w:val="24"/>
        </w:rPr>
      </w:pPr>
      <w:r w:rsidRPr="00914F08">
        <w:rPr>
          <w:rFonts w:ascii="Arial" w:hAnsi="Arial" w:cs="Arial"/>
          <w:sz w:val="24"/>
          <w:szCs w:val="24"/>
          <w:shd w:val="clear" w:color="auto" w:fill="FFFFFF"/>
        </w:rPr>
        <w:t xml:space="preserve">En concordancia con lo que señalan Mira &amp; Callado </w:t>
      </w:r>
      <w:sdt>
        <w:sdtPr>
          <w:rPr>
            <w:rFonts w:ascii="Arial" w:hAnsi="Arial" w:cs="Arial"/>
            <w:sz w:val="24"/>
            <w:szCs w:val="24"/>
            <w:shd w:val="clear" w:color="auto" w:fill="FFFFFF"/>
          </w:rPr>
          <w:id w:val="-942375582"/>
          <w:citation/>
        </w:sdtPr>
        <w:sdtEndPr/>
        <w:sdtContent>
          <w:r w:rsidRPr="00914F08">
            <w:rPr>
              <w:rFonts w:ascii="Arial" w:hAnsi="Arial" w:cs="Arial"/>
              <w:sz w:val="24"/>
              <w:szCs w:val="24"/>
              <w:shd w:val="clear" w:color="auto" w:fill="FFFFFF"/>
            </w:rPr>
            <w:fldChar w:fldCharType="begin"/>
          </w:r>
          <w:r w:rsidRPr="00914F08">
            <w:rPr>
              <w:rFonts w:ascii="Arial" w:hAnsi="Arial" w:cs="Arial"/>
              <w:sz w:val="24"/>
              <w:szCs w:val="24"/>
              <w:shd w:val="clear" w:color="auto" w:fill="FFFFFF"/>
            </w:rPr>
            <w:instrText xml:space="preserve">CITATION Mir17 \n  \t  \l 12298 </w:instrText>
          </w:r>
          <w:r w:rsidRPr="00914F08">
            <w:rPr>
              <w:rFonts w:ascii="Arial" w:hAnsi="Arial" w:cs="Arial"/>
              <w:sz w:val="24"/>
              <w:szCs w:val="24"/>
              <w:shd w:val="clear" w:color="auto" w:fill="FFFFFF"/>
            </w:rPr>
            <w:fldChar w:fldCharType="separate"/>
          </w:r>
          <w:r w:rsidRPr="00914F08">
            <w:rPr>
              <w:rFonts w:ascii="Arial" w:hAnsi="Arial" w:cs="Arial"/>
              <w:noProof/>
              <w:sz w:val="24"/>
              <w:szCs w:val="24"/>
              <w:shd w:val="clear" w:color="auto" w:fill="FFFFFF"/>
            </w:rPr>
            <w:t>(2017)</w:t>
          </w:r>
          <w:r w:rsidRPr="00914F08">
            <w:rPr>
              <w:rFonts w:ascii="Arial" w:hAnsi="Arial" w:cs="Arial"/>
              <w:sz w:val="24"/>
              <w:szCs w:val="24"/>
              <w:shd w:val="clear" w:color="auto" w:fill="FFFFFF"/>
            </w:rPr>
            <w:fldChar w:fldCharType="end"/>
          </w:r>
        </w:sdtContent>
      </w:sdt>
      <w:r w:rsidRPr="00914F08">
        <w:rPr>
          <w:rFonts w:ascii="Arial" w:hAnsi="Arial" w:cs="Arial"/>
          <w:sz w:val="24"/>
          <w:szCs w:val="24"/>
          <w:shd w:val="clear" w:color="auto" w:fill="FFFFFF"/>
        </w:rPr>
        <w:t xml:space="preserve">, los jóvenes estudiantes de la salud serán los profesionales del futuro, por lo que es fundamental desalentar la práctica del consumo de psicoestimulantes, por todos los efectos nocivos que tienen para la salud humana, </w:t>
      </w:r>
      <w:r w:rsidRPr="00914F08">
        <w:rPr>
          <w:rFonts w:ascii="Arial" w:hAnsi="Arial" w:cs="Arial"/>
          <w:color w:val="000000" w:themeColor="text1"/>
          <w:sz w:val="24"/>
          <w:szCs w:val="24"/>
        </w:rPr>
        <w:t>más aún cuando la promoción y prevención de la salud, son pilares fundamentales de la carrera de enfermería.</w:t>
      </w:r>
      <w:r w:rsidRPr="00914F08">
        <w:rPr>
          <w:rFonts w:ascii="Arial" w:hAnsi="Arial" w:cs="Arial"/>
          <w:color w:val="000000" w:themeColor="text1"/>
          <w:sz w:val="24"/>
          <w:szCs w:val="24"/>
        </w:rPr>
        <w:tab/>
        <w:t xml:space="preserve">En base a estos antecedentes se escogió realizar la investigación </w:t>
      </w:r>
      <w:r w:rsidRPr="00914F08">
        <w:rPr>
          <w:rFonts w:ascii="Arial" w:hAnsi="Arial" w:cs="Arial"/>
          <w:sz w:val="24"/>
          <w:szCs w:val="24"/>
          <w:shd w:val="clear" w:color="auto" w:fill="FFFFFF"/>
        </w:rPr>
        <w:t xml:space="preserve">del consumo de sustancias psicoestimulantes en estudiantes de la Carrera de enfermería de la </w:t>
      </w:r>
      <w:r w:rsidRPr="00914F08">
        <w:rPr>
          <w:rFonts w:ascii="Arial" w:hAnsi="Arial" w:cs="Arial"/>
          <w:color w:val="000000" w:themeColor="text1"/>
          <w:sz w:val="24"/>
          <w:szCs w:val="24"/>
        </w:rPr>
        <w:t>Universidad Central del Ecuador, con la finalidad de poder describir los tipos de sustancias psicoestimulantes que se consumen, su frecuencia, patrones y razones de consumo por semestre, así como analizar los efectos secundarios de su consumo.</w:t>
      </w:r>
    </w:p>
    <w:p w14:paraId="1B4239D5" w14:textId="77777777" w:rsidR="00705A92" w:rsidRPr="00914F08" w:rsidRDefault="00705A92" w:rsidP="00705A92">
      <w:pPr>
        <w:autoSpaceDE w:val="0"/>
        <w:autoSpaceDN w:val="0"/>
        <w:adjustRightInd w:val="0"/>
        <w:spacing w:after="0" w:line="240" w:lineRule="auto"/>
        <w:ind w:firstLine="284"/>
        <w:jc w:val="both"/>
        <w:rPr>
          <w:rFonts w:ascii="Arial" w:hAnsi="Arial" w:cs="Arial"/>
          <w:color w:val="000000" w:themeColor="text1"/>
          <w:sz w:val="24"/>
          <w:szCs w:val="24"/>
        </w:rPr>
      </w:pPr>
    </w:p>
    <w:p w14:paraId="02AEC9DC" w14:textId="3448E18C" w:rsidR="00705A92" w:rsidRPr="00914F08" w:rsidRDefault="00705A92" w:rsidP="00705A92">
      <w:pPr>
        <w:autoSpaceDE w:val="0"/>
        <w:autoSpaceDN w:val="0"/>
        <w:adjustRightInd w:val="0"/>
        <w:spacing w:after="0" w:line="240" w:lineRule="auto"/>
        <w:jc w:val="both"/>
        <w:rPr>
          <w:rFonts w:ascii="Arial" w:hAnsi="Arial" w:cs="Arial"/>
          <w:color w:val="000000" w:themeColor="text1"/>
          <w:sz w:val="24"/>
          <w:szCs w:val="24"/>
        </w:rPr>
      </w:pPr>
      <w:r w:rsidRPr="00914F08">
        <w:rPr>
          <w:rFonts w:ascii="Arial" w:eastAsia="Calibri" w:hAnsi="Arial" w:cs="Arial"/>
          <w:b/>
          <w:iCs/>
          <w:sz w:val="24"/>
          <w:szCs w:val="24"/>
        </w:rPr>
        <w:t>MÉTODOS</w:t>
      </w:r>
    </w:p>
    <w:p w14:paraId="5D5D1A3F" w14:textId="77777777" w:rsidR="00705A92" w:rsidRPr="00914F08" w:rsidRDefault="00705A92" w:rsidP="00705A92">
      <w:pPr>
        <w:autoSpaceDE w:val="0"/>
        <w:autoSpaceDN w:val="0"/>
        <w:adjustRightInd w:val="0"/>
        <w:spacing w:after="0" w:line="240" w:lineRule="auto"/>
        <w:jc w:val="both"/>
        <w:rPr>
          <w:rFonts w:ascii="Arial" w:hAnsi="Arial" w:cs="Arial"/>
          <w:color w:val="000000" w:themeColor="text1"/>
          <w:sz w:val="24"/>
          <w:szCs w:val="24"/>
        </w:rPr>
      </w:pPr>
    </w:p>
    <w:p w14:paraId="4A9BF508" w14:textId="77777777" w:rsidR="00705A92" w:rsidRPr="00914F08" w:rsidRDefault="00AE064D" w:rsidP="00705A92">
      <w:pPr>
        <w:autoSpaceDE w:val="0"/>
        <w:autoSpaceDN w:val="0"/>
        <w:adjustRightInd w:val="0"/>
        <w:spacing w:after="0" w:line="240" w:lineRule="auto"/>
        <w:ind w:firstLine="284"/>
        <w:jc w:val="both"/>
        <w:rPr>
          <w:rFonts w:ascii="Arial" w:hAnsi="Arial" w:cs="Arial"/>
          <w:sz w:val="24"/>
          <w:szCs w:val="24"/>
        </w:rPr>
      </w:pPr>
      <w:r w:rsidRPr="00914F08">
        <w:rPr>
          <w:rFonts w:ascii="Arial" w:hAnsi="Arial" w:cs="Arial"/>
          <w:sz w:val="24"/>
          <w:szCs w:val="24"/>
        </w:rPr>
        <w:t xml:space="preserve">Estudio de prevalencia, realizado en estudiantes universitarios de la Carrera de Enfermería de la Universidad Central del Ecuador en el </w:t>
      </w:r>
      <w:r w:rsidRPr="00914F08">
        <w:rPr>
          <w:rFonts w:ascii="Arial" w:hAnsi="Arial" w:cs="Arial"/>
          <w:color w:val="000000" w:themeColor="text1"/>
          <w:sz w:val="24"/>
          <w:szCs w:val="24"/>
        </w:rPr>
        <w:t xml:space="preserve">periodo académico octubre 2018 – marzo 2019. La identificación de los estudiantes se realizó en base a los registros de matrículas, se incluyeron los semestres de primero a sexto, que representó una población de 658 estudiantes. El valor de prevalencia </w:t>
      </w:r>
      <w:r w:rsidRPr="00914F08">
        <w:rPr>
          <w:rFonts w:ascii="Arial" w:hAnsi="Arial" w:cs="Arial"/>
          <w:color w:val="000000" w:themeColor="text1"/>
          <w:sz w:val="24"/>
          <w:szCs w:val="24"/>
        </w:rPr>
        <w:lastRenderedPageBreak/>
        <w:t>de consumo de psicoestimulantes considerado para el cálculo de la muestra, así como los tipos de sustancias psicoestimulantes a estudiar, se obtuvo mediante una prueba piloto realizada sobre 30 estudiantes (cuatro mujeres y un hombre por cada semestre) seleccionados aleatoriamente; el resultado de esta prueba determinó una prevalencia general de consumo de sustancias psicoestimulantes del 62%, siendo la bebida de café, las bebidas energizantes (V220, Red Bull, Vive 100 y Monter Energy) y los fármacos (</w:t>
      </w:r>
      <w:proofErr w:type="spellStart"/>
      <w:r w:rsidRPr="00914F08">
        <w:rPr>
          <w:rFonts w:ascii="Arial" w:hAnsi="Arial" w:cs="Arial"/>
          <w:color w:val="000000" w:themeColor="text1"/>
          <w:sz w:val="24"/>
          <w:szCs w:val="24"/>
        </w:rPr>
        <w:t>Despertol</w:t>
      </w:r>
      <w:proofErr w:type="spellEnd"/>
      <w:r w:rsidRPr="00914F08">
        <w:rPr>
          <w:rFonts w:ascii="Arial" w:hAnsi="Arial" w:cs="Arial"/>
          <w:color w:val="000000" w:themeColor="text1"/>
          <w:sz w:val="24"/>
          <w:szCs w:val="24"/>
        </w:rPr>
        <w:t xml:space="preserve"> y </w:t>
      </w:r>
      <w:proofErr w:type="spellStart"/>
      <w:r w:rsidRPr="00914F08">
        <w:rPr>
          <w:rFonts w:ascii="Arial" w:hAnsi="Arial" w:cs="Arial"/>
          <w:color w:val="000000" w:themeColor="text1"/>
          <w:sz w:val="24"/>
          <w:szCs w:val="24"/>
        </w:rPr>
        <w:t>Alertex</w:t>
      </w:r>
      <w:proofErr w:type="spellEnd"/>
      <w:r w:rsidRPr="00914F08">
        <w:rPr>
          <w:rFonts w:ascii="Arial" w:hAnsi="Arial" w:cs="Arial"/>
          <w:color w:val="000000" w:themeColor="text1"/>
          <w:sz w:val="24"/>
          <w:szCs w:val="24"/>
        </w:rPr>
        <w:t xml:space="preserve">) los de mayor consumo. Con esta información, se calculó una muestra de 235 estudiantes, que se dividieron en seis grupos: 58, 55, 37, 45, 35 y 50, de primero a sexto semestre, respectivamente, en base a un muestreo estratificado. </w:t>
      </w:r>
      <w:r w:rsidRPr="00914F08">
        <w:rPr>
          <w:rFonts w:ascii="Arial" w:hAnsi="Arial" w:cs="Arial"/>
          <w:sz w:val="24"/>
          <w:szCs w:val="24"/>
        </w:rPr>
        <w:t>El criterio de inclusión fue la firma del consentimiento informado.</w:t>
      </w:r>
    </w:p>
    <w:p w14:paraId="26DD8F25" w14:textId="77777777" w:rsidR="00705A92" w:rsidRPr="00914F08" w:rsidRDefault="00AE064D" w:rsidP="00705A92">
      <w:pPr>
        <w:autoSpaceDE w:val="0"/>
        <w:autoSpaceDN w:val="0"/>
        <w:adjustRightInd w:val="0"/>
        <w:spacing w:after="0" w:line="240" w:lineRule="auto"/>
        <w:ind w:firstLine="284"/>
        <w:jc w:val="both"/>
        <w:rPr>
          <w:rFonts w:ascii="Arial" w:hAnsi="Arial" w:cs="Arial"/>
          <w:color w:val="000000" w:themeColor="text1"/>
          <w:sz w:val="24"/>
          <w:szCs w:val="24"/>
        </w:rPr>
      </w:pPr>
      <w:r w:rsidRPr="00914F08">
        <w:rPr>
          <w:rFonts w:ascii="Arial" w:eastAsia="Calibri" w:hAnsi="Arial" w:cs="Arial"/>
          <w:iCs/>
          <w:sz w:val="24"/>
          <w:szCs w:val="24"/>
        </w:rPr>
        <w:t xml:space="preserve">Se estructuró una encuesta que permitió medir el tipo, frecuencia, razones de consumo y los efectos secundarios del consumo de psicoestimulantes menores de venta libre.  El instrumento fue sometido a un estudio de validación de constructo, contenido y criterio, mediante el apoyo de dos expertos de la Facultad de Ciencias Médicas de la Universidad Central del Ecuador,  y, al análisis de factibilidad mediante el estadístico alfa de Cronbach (0,96) </w:t>
      </w:r>
      <w:r w:rsidRPr="00914F08">
        <w:rPr>
          <w:rFonts w:ascii="Arial" w:hAnsi="Arial" w:cs="Arial"/>
          <w:sz w:val="24"/>
          <w:szCs w:val="24"/>
        </w:rPr>
        <w:fldChar w:fldCharType="begin"/>
      </w:r>
      <w:r w:rsidRPr="00914F08">
        <w:rPr>
          <w:rFonts w:ascii="Arial" w:hAnsi="Arial" w:cs="Arial"/>
          <w:sz w:val="24"/>
          <w:szCs w:val="24"/>
        </w:rPr>
        <w:instrText xml:space="preserve"> ADDIN ZOTERO_ITEM CSL_CITATION {"citationID":"vUEozYnd","properties":{"formattedCitation":"(22)","plainCitation":"(22)","noteIndex":0},"citationItems":[{"id":500,"uris":["http://zotero.org/users/local/zJzPthab/items/3C9MV3T9"],"uri":["http://zotero.org/users/local/zJzPthab/items/3C9MV3T9"],"itemData":{"id":500,"type":"article","title":"AlfaCronbach.pdf","URL":"https://www.uv.es/~friasnav/AlfaCronbach.pdf","accessed":{"date-parts":[["2018",11,24]]}}}],"schema":"https://github.com/citation-style-language/schema/raw/master/csl-citation.json"} </w:instrText>
      </w:r>
      <w:r w:rsidRPr="00914F08">
        <w:rPr>
          <w:rFonts w:ascii="Arial" w:hAnsi="Arial" w:cs="Arial"/>
          <w:sz w:val="24"/>
          <w:szCs w:val="24"/>
        </w:rPr>
        <w:fldChar w:fldCharType="separate"/>
      </w:r>
      <w:r w:rsidRPr="00914F08">
        <w:rPr>
          <w:rFonts w:ascii="Arial" w:hAnsi="Arial" w:cs="Arial"/>
          <w:sz w:val="24"/>
          <w:szCs w:val="24"/>
        </w:rPr>
        <w:t>(22)</w:t>
      </w:r>
      <w:r w:rsidRPr="00914F08">
        <w:rPr>
          <w:rFonts w:ascii="Arial" w:hAnsi="Arial" w:cs="Arial"/>
          <w:sz w:val="24"/>
          <w:szCs w:val="24"/>
        </w:rPr>
        <w:fldChar w:fldCharType="end"/>
      </w:r>
      <w:r w:rsidRPr="00914F08">
        <w:rPr>
          <w:rFonts w:ascii="Arial" w:eastAsia="Calibri" w:hAnsi="Arial" w:cs="Arial"/>
          <w:iCs/>
          <w:sz w:val="24"/>
          <w:szCs w:val="24"/>
        </w:rPr>
        <w:t xml:space="preserve">.  La realización de este trabajo fue aprobada por el Comité de Bioética de la Facultad de Ciencias Médicas de la Universidad Central del Ecuador, en concordancia a lo normado por la declaración de </w:t>
      </w:r>
      <w:proofErr w:type="spellStart"/>
      <w:r w:rsidRPr="00914F08">
        <w:rPr>
          <w:rFonts w:ascii="Arial" w:eastAsia="Calibri" w:hAnsi="Arial" w:cs="Arial"/>
          <w:iCs/>
          <w:sz w:val="24"/>
          <w:szCs w:val="24"/>
        </w:rPr>
        <w:t>Helsinski</w:t>
      </w:r>
      <w:proofErr w:type="spellEnd"/>
      <w:r w:rsidRPr="00914F08">
        <w:rPr>
          <w:rFonts w:ascii="Arial" w:eastAsia="Calibri" w:hAnsi="Arial" w:cs="Arial"/>
          <w:iCs/>
          <w:sz w:val="24"/>
          <w:szCs w:val="24"/>
        </w:rPr>
        <w:t>, respetando los principios de autonomía, justicia, beneficencia y no maleficencia en la población de estudio.</w:t>
      </w:r>
    </w:p>
    <w:p w14:paraId="5F17A6EF" w14:textId="77777777" w:rsidR="00705A92" w:rsidRPr="00914F08" w:rsidRDefault="00AE064D" w:rsidP="00705A92">
      <w:pPr>
        <w:autoSpaceDE w:val="0"/>
        <w:autoSpaceDN w:val="0"/>
        <w:adjustRightInd w:val="0"/>
        <w:spacing w:after="0" w:line="240" w:lineRule="auto"/>
        <w:jc w:val="both"/>
        <w:rPr>
          <w:rFonts w:ascii="Arial" w:hAnsi="Arial" w:cs="Arial"/>
          <w:b/>
          <w:bCs/>
          <w:color w:val="000000" w:themeColor="text1"/>
          <w:sz w:val="24"/>
          <w:szCs w:val="24"/>
        </w:rPr>
      </w:pPr>
      <w:r w:rsidRPr="00914F08">
        <w:rPr>
          <w:rFonts w:ascii="Arial" w:eastAsia="Calibri" w:hAnsi="Arial" w:cs="Arial"/>
          <w:b/>
          <w:bCs/>
          <w:sz w:val="24"/>
          <w:szCs w:val="24"/>
        </w:rPr>
        <w:t>Análisis estadístico</w:t>
      </w:r>
    </w:p>
    <w:p w14:paraId="64F448D6" w14:textId="0A9B2891" w:rsidR="00705A92" w:rsidRPr="00914F08" w:rsidRDefault="00AE064D" w:rsidP="00705A92">
      <w:pPr>
        <w:autoSpaceDE w:val="0"/>
        <w:autoSpaceDN w:val="0"/>
        <w:adjustRightInd w:val="0"/>
        <w:spacing w:after="0" w:line="240" w:lineRule="auto"/>
        <w:ind w:firstLine="284"/>
        <w:jc w:val="both"/>
        <w:rPr>
          <w:rFonts w:ascii="Arial" w:hAnsi="Arial" w:cs="Arial"/>
          <w:color w:val="000000" w:themeColor="text1"/>
          <w:sz w:val="24"/>
          <w:szCs w:val="24"/>
        </w:rPr>
      </w:pPr>
      <w:r w:rsidRPr="00914F08">
        <w:rPr>
          <w:rFonts w:ascii="Arial" w:eastAsia="Calibri" w:hAnsi="Arial" w:cs="Arial"/>
          <w:iCs/>
          <w:sz w:val="24"/>
          <w:szCs w:val="24"/>
        </w:rPr>
        <w:t>Para la edad, el análisis se realizó en base al cálculo del promedio y la desviación estándar.  El resto de variables (cualitativas), fueron analizadas en base a distribuciones de frecuencias, porcentajes e intervalos de confianza; como medidas de significación se usó Chi Cuadrado y OR para el análisis bivariado. Se aceptaron valores de significación p ≤ 0.05.   El procesamiento de datos se realizó utilizando el programa estadístico SPSS versión 24, con licencia de la Universidad Central del Ecuador.</w:t>
      </w:r>
    </w:p>
    <w:p w14:paraId="6DC7BE5B" w14:textId="5AF9BD77" w:rsidR="00705A92" w:rsidRPr="00914F08" w:rsidRDefault="00705A92" w:rsidP="00705A92">
      <w:pPr>
        <w:autoSpaceDE w:val="0"/>
        <w:autoSpaceDN w:val="0"/>
        <w:adjustRightInd w:val="0"/>
        <w:spacing w:after="0" w:line="240" w:lineRule="auto"/>
        <w:jc w:val="both"/>
        <w:rPr>
          <w:rFonts w:ascii="Arial" w:hAnsi="Arial" w:cs="Arial"/>
          <w:color w:val="000000" w:themeColor="text1"/>
          <w:sz w:val="24"/>
          <w:szCs w:val="24"/>
        </w:rPr>
      </w:pPr>
      <w:r w:rsidRPr="00914F08">
        <w:rPr>
          <w:rFonts w:ascii="Arial" w:eastAsia="Calibri" w:hAnsi="Arial" w:cs="Arial"/>
          <w:b/>
          <w:iCs/>
          <w:sz w:val="24"/>
          <w:szCs w:val="24"/>
        </w:rPr>
        <w:t>RESULTADOS</w:t>
      </w:r>
    </w:p>
    <w:p w14:paraId="53B419A4" w14:textId="77777777" w:rsidR="00705A92" w:rsidRPr="00914F08" w:rsidRDefault="00705A92" w:rsidP="00705A92">
      <w:pPr>
        <w:autoSpaceDE w:val="0"/>
        <w:autoSpaceDN w:val="0"/>
        <w:adjustRightInd w:val="0"/>
        <w:spacing w:after="0" w:line="240" w:lineRule="auto"/>
        <w:ind w:firstLine="284"/>
        <w:jc w:val="both"/>
        <w:rPr>
          <w:rFonts w:ascii="Arial" w:hAnsi="Arial" w:cs="Arial"/>
          <w:color w:val="000000" w:themeColor="text1"/>
          <w:sz w:val="24"/>
          <w:szCs w:val="24"/>
        </w:rPr>
      </w:pPr>
    </w:p>
    <w:p w14:paraId="3885C898" w14:textId="77777777" w:rsidR="00705A92" w:rsidRPr="00914F08" w:rsidRDefault="00AE064D" w:rsidP="00705A92">
      <w:pPr>
        <w:autoSpaceDE w:val="0"/>
        <w:autoSpaceDN w:val="0"/>
        <w:adjustRightInd w:val="0"/>
        <w:spacing w:after="0" w:line="240" w:lineRule="auto"/>
        <w:ind w:firstLine="284"/>
        <w:jc w:val="both"/>
        <w:rPr>
          <w:rFonts w:ascii="Arial" w:hAnsi="Arial" w:cs="Arial"/>
          <w:color w:val="000000" w:themeColor="text1"/>
          <w:sz w:val="24"/>
          <w:szCs w:val="24"/>
        </w:rPr>
      </w:pPr>
      <w:r w:rsidRPr="00914F08">
        <w:rPr>
          <w:rFonts w:ascii="Arial" w:eastAsia="Calibri" w:hAnsi="Arial" w:cs="Arial"/>
          <w:iCs/>
          <w:sz w:val="24"/>
          <w:szCs w:val="24"/>
        </w:rPr>
        <w:t>El promedio de edad de los 235 estudiantes fue de 21,69 +/- 3,41 años; 185(78,7%) de los investigados correspondió al sexo femenino.  177(81%) de los estudiantes, tenían estado civil soltero, 30(14%) casados y 12(5%) en unión libre.  35(15,6%) estudian y trabajan y 47(24,2%) tienen hijos.</w:t>
      </w:r>
    </w:p>
    <w:p w14:paraId="283CDAFA" w14:textId="571AC1B3" w:rsidR="00AE064D" w:rsidRPr="00914F08" w:rsidRDefault="00AE064D" w:rsidP="00705A92">
      <w:pPr>
        <w:autoSpaceDE w:val="0"/>
        <w:autoSpaceDN w:val="0"/>
        <w:adjustRightInd w:val="0"/>
        <w:spacing w:after="0" w:line="240" w:lineRule="auto"/>
        <w:ind w:firstLine="284"/>
        <w:jc w:val="both"/>
        <w:rPr>
          <w:rFonts w:ascii="Arial" w:hAnsi="Arial" w:cs="Arial"/>
          <w:color w:val="000000" w:themeColor="text1"/>
          <w:sz w:val="24"/>
          <w:szCs w:val="24"/>
        </w:rPr>
      </w:pPr>
      <w:r w:rsidRPr="00914F08">
        <w:rPr>
          <w:rFonts w:ascii="Arial" w:eastAsia="Calibri" w:hAnsi="Arial" w:cs="Arial"/>
          <w:iCs/>
          <w:sz w:val="24"/>
          <w:szCs w:val="24"/>
        </w:rPr>
        <w:t>La prevalencia de consumo en la muestra de los 235 estudiantes, se describe en la siguiente tabla:</w:t>
      </w:r>
    </w:p>
    <w:tbl>
      <w:tblPr>
        <w:tblW w:w="6573" w:type="dxa"/>
        <w:jc w:val="center"/>
        <w:tblLook w:val="04A0" w:firstRow="1" w:lastRow="0" w:firstColumn="1" w:lastColumn="0" w:noHBand="0" w:noVBand="1"/>
      </w:tblPr>
      <w:tblGrid>
        <w:gridCol w:w="2446"/>
        <w:gridCol w:w="1504"/>
        <w:gridCol w:w="1445"/>
        <w:gridCol w:w="1646"/>
      </w:tblGrid>
      <w:tr w:rsidR="00AE064D" w:rsidRPr="00914F08" w14:paraId="1AD90F2E" w14:textId="77777777" w:rsidTr="00705A92">
        <w:trPr>
          <w:trHeight w:val="278"/>
          <w:jc w:val="center"/>
        </w:trPr>
        <w:tc>
          <w:tcPr>
            <w:tcW w:w="6573" w:type="dxa"/>
            <w:gridSpan w:val="4"/>
            <w:tcBorders>
              <w:top w:val="nil"/>
              <w:left w:val="nil"/>
              <w:bottom w:val="nil"/>
              <w:right w:val="nil"/>
            </w:tcBorders>
            <w:shd w:val="clear" w:color="auto" w:fill="auto"/>
            <w:noWrap/>
            <w:vAlign w:val="bottom"/>
            <w:hideMark/>
          </w:tcPr>
          <w:p w14:paraId="1CDDEA0A" w14:textId="77777777" w:rsidR="00705A92" w:rsidRPr="00914F08" w:rsidRDefault="00705A92" w:rsidP="00705A92">
            <w:pPr>
              <w:spacing w:after="0" w:line="240" w:lineRule="auto"/>
              <w:ind w:firstLine="709"/>
              <w:jc w:val="center"/>
              <w:rPr>
                <w:rFonts w:ascii="Arial" w:eastAsia="Times New Roman" w:hAnsi="Arial" w:cs="Arial"/>
                <w:b/>
                <w:bCs/>
                <w:color w:val="000000"/>
                <w:sz w:val="24"/>
                <w:szCs w:val="24"/>
              </w:rPr>
            </w:pPr>
          </w:p>
          <w:p w14:paraId="41A966C9" w14:textId="472AC2ED" w:rsidR="00AE064D" w:rsidRPr="00914F08" w:rsidRDefault="00AE064D" w:rsidP="00705A92">
            <w:pPr>
              <w:spacing w:after="0" w:line="240" w:lineRule="auto"/>
              <w:ind w:firstLine="709"/>
              <w:jc w:val="center"/>
              <w:rPr>
                <w:rFonts w:ascii="Arial" w:eastAsia="Times New Roman" w:hAnsi="Arial" w:cs="Arial"/>
                <w:b/>
                <w:bCs/>
                <w:color w:val="000000"/>
                <w:sz w:val="24"/>
                <w:szCs w:val="24"/>
              </w:rPr>
            </w:pPr>
            <w:r w:rsidRPr="00914F08">
              <w:rPr>
                <w:rFonts w:ascii="Arial" w:eastAsia="Times New Roman" w:hAnsi="Arial" w:cs="Arial"/>
                <w:b/>
                <w:bCs/>
                <w:color w:val="000000"/>
                <w:sz w:val="24"/>
                <w:szCs w:val="24"/>
              </w:rPr>
              <w:t>Tabla 1</w:t>
            </w:r>
            <w:r w:rsidR="00705A92" w:rsidRPr="00914F08">
              <w:rPr>
                <w:rFonts w:ascii="Arial" w:eastAsia="Times New Roman" w:hAnsi="Arial" w:cs="Arial"/>
                <w:b/>
                <w:bCs/>
                <w:color w:val="000000"/>
                <w:sz w:val="24"/>
                <w:szCs w:val="24"/>
              </w:rPr>
              <w:t xml:space="preserve">: </w:t>
            </w:r>
            <w:r w:rsidRPr="00914F08">
              <w:rPr>
                <w:rFonts w:ascii="Arial" w:eastAsia="Times New Roman" w:hAnsi="Arial" w:cs="Arial"/>
                <w:color w:val="000000"/>
                <w:sz w:val="24"/>
                <w:szCs w:val="24"/>
              </w:rPr>
              <w:t>Prevalencia de consumo de sustancias psicoestimulantes menores</w:t>
            </w:r>
          </w:p>
        </w:tc>
      </w:tr>
      <w:tr w:rsidR="00AE064D" w:rsidRPr="00914F08" w14:paraId="032FE14C" w14:textId="77777777" w:rsidTr="00705A92">
        <w:trPr>
          <w:trHeight w:val="292"/>
          <w:jc w:val="center"/>
        </w:trPr>
        <w:tc>
          <w:tcPr>
            <w:tcW w:w="2265" w:type="dxa"/>
            <w:tcBorders>
              <w:top w:val="single" w:sz="4" w:space="0" w:color="auto"/>
              <w:left w:val="nil"/>
              <w:bottom w:val="single" w:sz="8" w:space="0" w:color="auto"/>
              <w:right w:val="nil"/>
            </w:tcBorders>
            <w:shd w:val="clear" w:color="auto" w:fill="auto"/>
            <w:noWrap/>
            <w:vAlign w:val="bottom"/>
            <w:hideMark/>
          </w:tcPr>
          <w:p w14:paraId="1428093E" w14:textId="77777777" w:rsidR="00AE064D" w:rsidRPr="00914F08" w:rsidRDefault="00AE064D" w:rsidP="00705A92">
            <w:pPr>
              <w:spacing w:after="0" w:line="240" w:lineRule="auto"/>
              <w:ind w:firstLine="709"/>
              <w:jc w:val="both"/>
              <w:rPr>
                <w:rFonts w:ascii="Arial" w:eastAsia="Times New Roman" w:hAnsi="Arial" w:cs="Arial"/>
                <w:b/>
                <w:bCs/>
                <w:color w:val="000000"/>
                <w:sz w:val="24"/>
                <w:szCs w:val="24"/>
                <w:lang w:val="en-US"/>
              </w:rPr>
            </w:pPr>
            <w:proofErr w:type="spellStart"/>
            <w:r w:rsidRPr="00914F08">
              <w:rPr>
                <w:rFonts w:ascii="Arial" w:eastAsia="Times New Roman" w:hAnsi="Arial" w:cs="Arial"/>
                <w:b/>
                <w:bCs/>
                <w:color w:val="000000"/>
                <w:sz w:val="24"/>
                <w:szCs w:val="24"/>
                <w:lang w:val="en-US"/>
              </w:rPr>
              <w:t>Composición</w:t>
            </w:r>
            <w:proofErr w:type="spellEnd"/>
          </w:p>
        </w:tc>
        <w:tc>
          <w:tcPr>
            <w:tcW w:w="1504" w:type="dxa"/>
            <w:tcBorders>
              <w:top w:val="single" w:sz="4" w:space="0" w:color="auto"/>
              <w:left w:val="nil"/>
              <w:bottom w:val="single" w:sz="8" w:space="0" w:color="auto"/>
              <w:right w:val="nil"/>
            </w:tcBorders>
            <w:shd w:val="clear" w:color="auto" w:fill="auto"/>
            <w:noWrap/>
            <w:vAlign w:val="bottom"/>
            <w:hideMark/>
          </w:tcPr>
          <w:p w14:paraId="5EF74578" w14:textId="77777777" w:rsidR="00AE064D" w:rsidRPr="00914F08" w:rsidRDefault="00AE064D" w:rsidP="00705A92">
            <w:pPr>
              <w:spacing w:after="0" w:line="240" w:lineRule="auto"/>
              <w:ind w:firstLine="709"/>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Tipo</w:t>
            </w:r>
          </w:p>
        </w:tc>
        <w:tc>
          <w:tcPr>
            <w:tcW w:w="1244" w:type="dxa"/>
            <w:tcBorders>
              <w:top w:val="single" w:sz="4" w:space="0" w:color="auto"/>
              <w:left w:val="nil"/>
              <w:bottom w:val="single" w:sz="8" w:space="0" w:color="auto"/>
              <w:right w:val="nil"/>
            </w:tcBorders>
            <w:shd w:val="clear" w:color="auto" w:fill="auto"/>
            <w:noWrap/>
            <w:vAlign w:val="bottom"/>
            <w:hideMark/>
          </w:tcPr>
          <w:p w14:paraId="4F310467" w14:textId="77777777" w:rsidR="00AE064D" w:rsidRPr="00914F08" w:rsidRDefault="00AE064D" w:rsidP="00705A92">
            <w:pPr>
              <w:spacing w:after="0" w:line="240" w:lineRule="auto"/>
              <w:ind w:firstLine="709"/>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F(%)</w:t>
            </w:r>
          </w:p>
        </w:tc>
        <w:tc>
          <w:tcPr>
            <w:tcW w:w="1560" w:type="dxa"/>
            <w:tcBorders>
              <w:top w:val="single" w:sz="4" w:space="0" w:color="auto"/>
              <w:left w:val="nil"/>
              <w:bottom w:val="single" w:sz="8" w:space="0" w:color="auto"/>
              <w:right w:val="nil"/>
            </w:tcBorders>
            <w:shd w:val="clear" w:color="auto" w:fill="auto"/>
            <w:noWrap/>
            <w:vAlign w:val="bottom"/>
            <w:hideMark/>
          </w:tcPr>
          <w:p w14:paraId="2682CE45" w14:textId="77777777" w:rsidR="00AE064D" w:rsidRPr="00914F08" w:rsidRDefault="00AE064D" w:rsidP="00705A92">
            <w:pPr>
              <w:spacing w:after="0" w:line="240" w:lineRule="auto"/>
              <w:ind w:firstLine="709"/>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IC95% (</w:t>
            </w:r>
            <w:proofErr w:type="spellStart"/>
            <w:r w:rsidRPr="00914F08">
              <w:rPr>
                <w:rFonts w:ascii="Arial" w:eastAsia="Times New Roman" w:hAnsi="Arial" w:cs="Arial"/>
                <w:b/>
                <w:bCs/>
                <w:color w:val="000000"/>
                <w:sz w:val="24"/>
                <w:szCs w:val="24"/>
                <w:lang w:val="en-US"/>
              </w:rPr>
              <w:t>límites</w:t>
            </w:r>
            <w:proofErr w:type="spellEnd"/>
            <w:r w:rsidRPr="00914F08">
              <w:rPr>
                <w:rFonts w:ascii="Arial" w:eastAsia="Times New Roman" w:hAnsi="Arial" w:cs="Arial"/>
                <w:b/>
                <w:bCs/>
                <w:color w:val="000000"/>
                <w:sz w:val="24"/>
                <w:szCs w:val="24"/>
                <w:lang w:val="en-US"/>
              </w:rPr>
              <w:t>)</w:t>
            </w:r>
          </w:p>
        </w:tc>
      </w:tr>
      <w:tr w:rsidR="00AE064D" w:rsidRPr="00914F08" w14:paraId="757E832F"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5EE2C4E0"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proofErr w:type="spellStart"/>
            <w:r w:rsidRPr="00914F08">
              <w:rPr>
                <w:rFonts w:ascii="Arial" w:eastAsia="Times New Roman" w:hAnsi="Arial" w:cs="Arial"/>
                <w:b/>
                <w:bCs/>
                <w:color w:val="000000"/>
                <w:sz w:val="24"/>
                <w:szCs w:val="24"/>
                <w:lang w:val="en-US"/>
              </w:rPr>
              <w:t>Bebidas</w:t>
            </w:r>
            <w:proofErr w:type="spellEnd"/>
            <w:r w:rsidRPr="00914F08">
              <w:rPr>
                <w:rFonts w:ascii="Arial" w:eastAsia="Times New Roman" w:hAnsi="Arial" w:cs="Arial"/>
                <w:b/>
                <w:bCs/>
                <w:color w:val="000000"/>
                <w:sz w:val="24"/>
                <w:szCs w:val="24"/>
                <w:lang w:val="en-US"/>
              </w:rPr>
              <w:t xml:space="preserve"> de café</w:t>
            </w:r>
          </w:p>
        </w:tc>
        <w:tc>
          <w:tcPr>
            <w:tcW w:w="1504" w:type="dxa"/>
            <w:tcBorders>
              <w:top w:val="nil"/>
              <w:left w:val="nil"/>
              <w:bottom w:val="nil"/>
              <w:right w:val="nil"/>
            </w:tcBorders>
            <w:shd w:val="clear" w:color="auto" w:fill="auto"/>
            <w:noWrap/>
            <w:vAlign w:val="bottom"/>
            <w:hideMark/>
          </w:tcPr>
          <w:p w14:paraId="3CA79BEC"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p>
        </w:tc>
        <w:tc>
          <w:tcPr>
            <w:tcW w:w="1244" w:type="dxa"/>
            <w:tcBorders>
              <w:top w:val="nil"/>
              <w:left w:val="nil"/>
              <w:bottom w:val="nil"/>
              <w:right w:val="nil"/>
            </w:tcBorders>
            <w:shd w:val="clear" w:color="auto" w:fill="auto"/>
            <w:noWrap/>
            <w:vAlign w:val="bottom"/>
            <w:hideMark/>
          </w:tcPr>
          <w:p w14:paraId="05156F59" w14:textId="77777777" w:rsidR="00AE064D" w:rsidRPr="00914F08" w:rsidRDefault="00AE064D" w:rsidP="00705A92">
            <w:pPr>
              <w:spacing w:after="0" w:line="240" w:lineRule="auto"/>
              <w:jc w:val="both"/>
              <w:rPr>
                <w:rFonts w:ascii="Arial" w:eastAsia="Times New Roman" w:hAnsi="Arial" w:cs="Arial"/>
                <w:sz w:val="24"/>
                <w:szCs w:val="24"/>
                <w:lang w:val="en-US"/>
              </w:rPr>
            </w:pPr>
          </w:p>
        </w:tc>
        <w:tc>
          <w:tcPr>
            <w:tcW w:w="1560" w:type="dxa"/>
            <w:tcBorders>
              <w:top w:val="nil"/>
              <w:left w:val="nil"/>
              <w:bottom w:val="nil"/>
              <w:right w:val="nil"/>
            </w:tcBorders>
            <w:shd w:val="clear" w:color="auto" w:fill="auto"/>
            <w:noWrap/>
            <w:vAlign w:val="bottom"/>
            <w:hideMark/>
          </w:tcPr>
          <w:p w14:paraId="225D6F2B" w14:textId="77777777" w:rsidR="00AE064D" w:rsidRPr="00914F08" w:rsidRDefault="00AE064D" w:rsidP="00705A92">
            <w:pPr>
              <w:spacing w:after="0" w:line="240" w:lineRule="auto"/>
              <w:jc w:val="both"/>
              <w:rPr>
                <w:rFonts w:ascii="Arial" w:eastAsia="Times New Roman" w:hAnsi="Arial" w:cs="Arial"/>
                <w:sz w:val="24"/>
                <w:szCs w:val="24"/>
                <w:lang w:val="en-US"/>
              </w:rPr>
            </w:pPr>
          </w:p>
        </w:tc>
      </w:tr>
      <w:tr w:rsidR="00AE064D" w:rsidRPr="00914F08" w14:paraId="5F58CEB5" w14:textId="77777777" w:rsidTr="00705A92">
        <w:trPr>
          <w:trHeight w:val="278"/>
          <w:jc w:val="center"/>
        </w:trPr>
        <w:tc>
          <w:tcPr>
            <w:tcW w:w="2265" w:type="dxa"/>
            <w:tcBorders>
              <w:top w:val="nil"/>
              <w:left w:val="nil"/>
              <w:bottom w:val="single" w:sz="4" w:space="0" w:color="auto"/>
              <w:right w:val="nil"/>
            </w:tcBorders>
            <w:shd w:val="clear" w:color="auto" w:fill="auto"/>
            <w:noWrap/>
            <w:vAlign w:val="bottom"/>
            <w:hideMark/>
          </w:tcPr>
          <w:p w14:paraId="117B959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roofErr w:type="spellStart"/>
            <w:r w:rsidRPr="00914F08">
              <w:rPr>
                <w:rFonts w:ascii="Arial" w:eastAsia="Times New Roman" w:hAnsi="Arial" w:cs="Arial"/>
                <w:color w:val="000000"/>
                <w:sz w:val="24"/>
                <w:szCs w:val="24"/>
                <w:lang w:val="en-US"/>
              </w:rPr>
              <w:t>Cafeina</w:t>
            </w:r>
            <w:proofErr w:type="spellEnd"/>
          </w:p>
        </w:tc>
        <w:tc>
          <w:tcPr>
            <w:tcW w:w="1504" w:type="dxa"/>
            <w:tcBorders>
              <w:top w:val="nil"/>
              <w:left w:val="nil"/>
              <w:bottom w:val="single" w:sz="4" w:space="0" w:color="auto"/>
              <w:right w:val="nil"/>
            </w:tcBorders>
            <w:shd w:val="clear" w:color="auto" w:fill="auto"/>
            <w:noWrap/>
            <w:vAlign w:val="bottom"/>
            <w:hideMark/>
          </w:tcPr>
          <w:p w14:paraId="4D278578"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roofErr w:type="spellStart"/>
            <w:r w:rsidRPr="00914F08">
              <w:rPr>
                <w:rFonts w:ascii="Arial" w:eastAsia="Times New Roman" w:hAnsi="Arial" w:cs="Arial"/>
                <w:color w:val="000000"/>
                <w:sz w:val="24"/>
                <w:szCs w:val="24"/>
                <w:lang w:val="en-US"/>
              </w:rPr>
              <w:t>taza</w:t>
            </w:r>
            <w:proofErr w:type="spellEnd"/>
            <w:r w:rsidRPr="00914F08">
              <w:rPr>
                <w:rFonts w:ascii="Arial" w:eastAsia="Times New Roman" w:hAnsi="Arial" w:cs="Arial"/>
                <w:color w:val="000000"/>
                <w:sz w:val="24"/>
                <w:szCs w:val="24"/>
                <w:lang w:val="en-US"/>
              </w:rPr>
              <w:t xml:space="preserve"> 240ml</w:t>
            </w:r>
          </w:p>
        </w:tc>
        <w:tc>
          <w:tcPr>
            <w:tcW w:w="1244" w:type="dxa"/>
            <w:tcBorders>
              <w:top w:val="nil"/>
              <w:left w:val="nil"/>
              <w:bottom w:val="single" w:sz="4" w:space="0" w:color="auto"/>
              <w:right w:val="nil"/>
            </w:tcBorders>
            <w:shd w:val="clear" w:color="auto" w:fill="auto"/>
            <w:noWrap/>
            <w:vAlign w:val="bottom"/>
            <w:hideMark/>
          </w:tcPr>
          <w:p w14:paraId="003839D8"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201(85,5)</w:t>
            </w:r>
          </w:p>
        </w:tc>
        <w:tc>
          <w:tcPr>
            <w:tcW w:w="1560" w:type="dxa"/>
            <w:tcBorders>
              <w:top w:val="nil"/>
              <w:left w:val="nil"/>
              <w:bottom w:val="single" w:sz="4" w:space="0" w:color="auto"/>
              <w:right w:val="nil"/>
            </w:tcBorders>
            <w:shd w:val="clear" w:color="auto" w:fill="auto"/>
            <w:noWrap/>
            <w:vAlign w:val="bottom"/>
            <w:hideMark/>
          </w:tcPr>
          <w:p w14:paraId="080FC081"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81,9 - 89,1</w:t>
            </w:r>
          </w:p>
        </w:tc>
      </w:tr>
      <w:tr w:rsidR="00AE064D" w:rsidRPr="00914F08" w14:paraId="24E12A3B"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6CFEE6A9"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proofErr w:type="spellStart"/>
            <w:r w:rsidRPr="00914F08">
              <w:rPr>
                <w:rFonts w:ascii="Arial" w:eastAsia="Times New Roman" w:hAnsi="Arial" w:cs="Arial"/>
                <w:b/>
                <w:bCs/>
                <w:color w:val="000000"/>
                <w:sz w:val="24"/>
                <w:szCs w:val="24"/>
                <w:lang w:val="en-US"/>
              </w:rPr>
              <w:t>Bebidas</w:t>
            </w:r>
            <w:proofErr w:type="spellEnd"/>
            <w:r w:rsidRPr="00914F08">
              <w:rPr>
                <w:rFonts w:ascii="Arial" w:eastAsia="Times New Roman" w:hAnsi="Arial" w:cs="Arial"/>
                <w:b/>
                <w:bCs/>
                <w:color w:val="000000"/>
                <w:sz w:val="24"/>
                <w:szCs w:val="24"/>
                <w:lang w:val="en-US"/>
              </w:rPr>
              <w:t xml:space="preserve"> </w:t>
            </w:r>
            <w:proofErr w:type="spellStart"/>
            <w:r w:rsidRPr="00914F08">
              <w:rPr>
                <w:rFonts w:ascii="Arial" w:eastAsia="Times New Roman" w:hAnsi="Arial" w:cs="Arial"/>
                <w:b/>
                <w:bCs/>
                <w:color w:val="000000"/>
                <w:sz w:val="24"/>
                <w:szCs w:val="24"/>
                <w:lang w:val="en-US"/>
              </w:rPr>
              <w:t>energizantes</w:t>
            </w:r>
            <w:proofErr w:type="spellEnd"/>
          </w:p>
        </w:tc>
        <w:tc>
          <w:tcPr>
            <w:tcW w:w="1504" w:type="dxa"/>
            <w:tcBorders>
              <w:top w:val="nil"/>
              <w:left w:val="nil"/>
              <w:bottom w:val="nil"/>
              <w:right w:val="nil"/>
            </w:tcBorders>
            <w:shd w:val="clear" w:color="auto" w:fill="auto"/>
            <w:noWrap/>
            <w:vAlign w:val="bottom"/>
            <w:hideMark/>
          </w:tcPr>
          <w:p w14:paraId="09E3C80D"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244" w:type="dxa"/>
            <w:tcBorders>
              <w:top w:val="nil"/>
              <w:left w:val="nil"/>
              <w:bottom w:val="nil"/>
              <w:right w:val="nil"/>
            </w:tcBorders>
            <w:shd w:val="clear" w:color="000000" w:fill="FFFFFF"/>
            <w:noWrap/>
            <w:vAlign w:val="bottom"/>
            <w:hideMark/>
          </w:tcPr>
          <w:p w14:paraId="027E4882"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560" w:type="dxa"/>
            <w:tcBorders>
              <w:top w:val="nil"/>
              <w:left w:val="nil"/>
              <w:bottom w:val="nil"/>
              <w:right w:val="nil"/>
            </w:tcBorders>
            <w:shd w:val="clear" w:color="auto" w:fill="auto"/>
            <w:noWrap/>
            <w:vAlign w:val="bottom"/>
            <w:hideMark/>
          </w:tcPr>
          <w:p w14:paraId="41B05607"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r>
      <w:tr w:rsidR="00AE064D" w:rsidRPr="00914F08" w14:paraId="53B6187F"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6D1DE230"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roofErr w:type="spellStart"/>
            <w:r w:rsidRPr="00914F08">
              <w:rPr>
                <w:rFonts w:ascii="Arial" w:eastAsia="Times New Roman" w:hAnsi="Arial" w:cs="Arial"/>
                <w:color w:val="000000"/>
                <w:sz w:val="24"/>
                <w:szCs w:val="24"/>
                <w:lang w:val="en-US"/>
              </w:rPr>
              <w:t>Cafeína</w:t>
            </w:r>
            <w:proofErr w:type="spellEnd"/>
            <w:r w:rsidRPr="00914F08">
              <w:rPr>
                <w:rFonts w:ascii="Arial" w:eastAsia="Times New Roman" w:hAnsi="Arial" w:cs="Arial"/>
                <w:color w:val="000000"/>
                <w:sz w:val="24"/>
                <w:szCs w:val="24"/>
                <w:lang w:val="en-US"/>
              </w:rPr>
              <w:t xml:space="preserve">, </w:t>
            </w:r>
            <w:proofErr w:type="spellStart"/>
            <w:r w:rsidRPr="00914F08">
              <w:rPr>
                <w:rFonts w:ascii="Arial" w:eastAsia="Times New Roman" w:hAnsi="Arial" w:cs="Arial"/>
                <w:color w:val="000000"/>
                <w:sz w:val="24"/>
                <w:szCs w:val="24"/>
                <w:lang w:val="en-US"/>
              </w:rPr>
              <w:t>taurina</w:t>
            </w:r>
            <w:proofErr w:type="spellEnd"/>
          </w:p>
        </w:tc>
        <w:tc>
          <w:tcPr>
            <w:tcW w:w="1504" w:type="dxa"/>
            <w:tcBorders>
              <w:top w:val="nil"/>
              <w:left w:val="nil"/>
              <w:bottom w:val="nil"/>
              <w:right w:val="nil"/>
            </w:tcBorders>
            <w:shd w:val="clear" w:color="auto" w:fill="auto"/>
            <w:noWrap/>
            <w:vAlign w:val="bottom"/>
            <w:hideMark/>
          </w:tcPr>
          <w:p w14:paraId="2E7B3397"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V220</w:t>
            </w:r>
          </w:p>
        </w:tc>
        <w:tc>
          <w:tcPr>
            <w:tcW w:w="1244" w:type="dxa"/>
            <w:tcBorders>
              <w:top w:val="nil"/>
              <w:left w:val="nil"/>
              <w:bottom w:val="nil"/>
              <w:right w:val="nil"/>
            </w:tcBorders>
            <w:shd w:val="clear" w:color="000000" w:fill="FFFFFF"/>
            <w:noWrap/>
            <w:vAlign w:val="bottom"/>
            <w:hideMark/>
          </w:tcPr>
          <w:p w14:paraId="4776EDEA"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100(42,6)</w:t>
            </w:r>
          </w:p>
        </w:tc>
        <w:tc>
          <w:tcPr>
            <w:tcW w:w="1560" w:type="dxa"/>
            <w:tcBorders>
              <w:top w:val="nil"/>
              <w:left w:val="nil"/>
              <w:bottom w:val="nil"/>
              <w:right w:val="nil"/>
            </w:tcBorders>
            <w:shd w:val="clear" w:color="auto" w:fill="auto"/>
            <w:noWrap/>
            <w:vAlign w:val="bottom"/>
            <w:hideMark/>
          </w:tcPr>
          <w:p w14:paraId="3891FD7B"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37,5 - 47,7</w:t>
            </w:r>
          </w:p>
        </w:tc>
      </w:tr>
      <w:tr w:rsidR="00AE064D" w:rsidRPr="00914F08" w14:paraId="630EEB4E"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0BD69E8D"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
        </w:tc>
        <w:tc>
          <w:tcPr>
            <w:tcW w:w="1504" w:type="dxa"/>
            <w:tcBorders>
              <w:top w:val="nil"/>
              <w:left w:val="nil"/>
              <w:bottom w:val="single" w:sz="4" w:space="0" w:color="auto"/>
              <w:right w:val="nil"/>
            </w:tcBorders>
            <w:shd w:val="clear" w:color="auto" w:fill="auto"/>
            <w:noWrap/>
            <w:vAlign w:val="bottom"/>
            <w:hideMark/>
          </w:tcPr>
          <w:p w14:paraId="438D359A"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Red Bull</w:t>
            </w:r>
          </w:p>
        </w:tc>
        <w:tc>
          <w:tcPr>
            <w:tcW w:w="1244" w:type="dxa"/>
            <w:tcBorders>
              <w:top w:val="nil"/>
              <w:left w:val="nil"/>
              <w:bottom w:val="single" w:sz="4" w:space="0" w:color="auto"/>
              <w:right w:val="nil"/>
            </w:tcBorders>
            <w:shd w:val="clear" w:color="000000" w:fill="FFFFFF"/>
            <w:noWrap/>
            <w:vAlign w:val="bottom"/>
            <w:hideMark/>
          </w:tcPr>
          <w:p w14:paraId="1B4E3F7F"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19(8,1)</w:t>
            </w:r>
          </w:p>
        </w:tc>
        <w:tc>
          <w:tcPr>
            <w:tcW w:w="1560" w:type="dxa"/>
            <w:tcBorders>
              <w:top w:val="nil"/>
              <w:left w:val="nil"/>
              <w:bottom w:val="single" w:sz="4" w:space="0" w:color="auto"/>
              <w:right w:val="nil"/>
            </w:tcBorders>
            <w:shd w:val="clear" w:color="auto" w:fill="auto"/>
            <w:noWrap/>
            <w:vAlign w:val="bottom"/>
            <w:hideMark/>
          </w:tcPr>
          <w:p w14:paraId="23E6A9DB"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5,3 - 10,9</w:t>
            </w:r>
          </w:p>
        </w:tc>
      </w:tr>
      <w:tr w:rsidR="00AE064D" w:rsidRPr="00914F08" w14:paraId="2FF1ACBF"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4E660AB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roofErr w:type="spellStart"/>
            <w:r w:rsidRPr="00914F08">
              <w:rPr>
                <w:rFonts w:ascii="Arial" w:eastAsia="Times New Roman" w:hAnsi="Arial" w:cs="Arial"/>
                <w:color w:val="000000"/>
                <w:sz w:val="24"/>
                <w:szCs w:val="24"/>
                <w:lang w:val="en-US"/>
              </w:rPr>
              <w:lastRenderedPageBreak/>
              <w:t>Cafeina</w:t>
            </w:r>
            <w:proofErr w:type="spellEnd"/>
            <w:r w:rsidRPr="00914F08">
              <w:rPr>
                <w:rFonts w:ascii="Arial" w:eastAsia="Times New Roman" w:hAnsi="Arial" w:cs="Arial"/>
                <w:color w:val="000000"/>
                <w:sz w:val="24"/>
                <w:szCs w:val="24"/>
                <w:lang w:val="en-US"/>
              </w:rPr>
              <w:t xml:space="preserve">, </w:t>
            </w:r>
            <w:proofErr w:type="spellStart"/>
            <w:r w:rsidRPr="00914F08">
              <w:rPr>
                <w:rFonts w:ascii="Arial" w:eastAsia="Times New Roman" w:hAnsi="Arial" w:cs="Arial"/>
                <w:color w:val="000000"/>
                <w:sz w:val="24"/>
                <w:szCs w:val="24"/>
                <w:lang w:val="en-US"/>
              </w:rPr>
              <w:t>taurina</w:t>
            </w:r>
            <w:proofErr w:type="spellEnd"/>
            <w:r w:rsidRPr="00914F08">
              <w:rPr>
                <w:rFonts w:ascii="Arial" w:eastAsia="Times New Roman" w:hAnsi="Arial" w:cs="Arial"/>
                <w:color w:val="000000"/>
                <w:sz w:val="24"/>
                <w:szCs w:val="24"/>
                <w:lang w:val="en-US"/>
              </w:rPr>
              <w:t xml:space="preserve">, </w:t>
            </w:r>
            <w:proofErr w:type="spellStart"/>
            <w:r w:rsidRPr="00914F08">
              <w:rPr>
                <w:rFonts w:ascii="Arial" w:eastAsia="Times New Roman" w:hAnsi="Arial" w:cs="Arial"/>
                <w:color w:val="000000"/>
                <w:sz w:val="24"/>
                <w:szCs w:val="24"/>
                <w:lang w:val="en-US"/>
              </w:rPr>
              <w:t>otros</w:t>
            </w:r>
            <w:proofErr w:type="spellEnd"/>
          </w:p>
        </w:tc>
        <w:tc>
          <w:tcPr>
            <w:tcW w:w="1504" w:type="dxa"/>
            <w:tcBorders>
              <w:top w:val="nil"/>
              <w:left w:val="nil"/>
              <w:bottom w:val="nil"/>
              <w:right w:val="nil"/>
            </w:tcBorders>
            <w:shd w:val="clear" w:color="auto" w:fill="auto"/>
            <w:noWrap/>
            <w:vAlign w:val="bottom"/>
            <w:hideMark/>
          </w:tcPr>
          <w:p w14:paraId="3BB6FB15"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Vive 100</w:t>
            </w:r>
          </w:p>
        </w:tc>
        <w:tc>
          <w:tcPr>
            <w:tcW w:w="1244" w:type="dxa"/>
            <w:tcBorders>
              <w:top w:val="nil"/>
              <w:left w:val="nil"/>
              <w:bottom w:val="nil"/>
              <w:right w:val="nil"/>
            </w:tcBorders>
            <w:shd w:val="clear" w:color="000000" w:fill="FFFFFF"/>
            <w:noWrap/>
            <w:vAlign w:val="bottom"/>
            <w:hideMark/>
          </w:tcPr>
          <w:p w14:paraId="75CB2938"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53(22,6)</w:t>
            </w:r>
          </w:p>
        </w:tc>
        <w:tc>
          <w:tcPr>
            <w:tcW w:w="1560" w:type="dxa"/>
            <w:tcBorders>
              <w:top w:val="nil"/>
              <w:left w:val="nil"/>
              <w:bottom w:val="nil"/>
              <w:right w:val="nil"/>
            </w:tcBorders>
            <w:shd w:val="clear" w:color="auto" w:fill="auto"/>
            <w:noWrap/>
            <w:vAlign w:val="bottom"/>
            <w:hideMark/>
          </w:tcPr>
          <w:p w14:paraId="0DF94C52"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18,31 - 26,9</w:t>
            </w:r>
          </w:p>
        </w:tc>
      </w:tr>
      <w:tr w:rsidR="00AE064D" w:rsidRPr="00914F08" w14:paraId="24A8BCA2"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657CF5C0"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
        </w:tc>
        <w:tc>
          <w:tcPr>
            <w:tcW w:w="1504" w:type="dxa"/>
            <w:tcBorders>
              <w:top w:val="nil"/>
              <w:left w:val="nil"/>
              <w:bottom w:val="single" w:sz="4" w:space="0" w:color="auto"/>
              <w:right w:val="nil"/>
            </w:tcBorders>
            <w:shd w:val="clear" w:color="auto" w:fill="auto"/>
            <w:noWrap/>
            <w:vAlign w:val="bottom"/>
            <w:hideMark/>
          </w:tcPr>
          <w:p w14:paraId="05ECA2D7"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Monster Energy</w:t>
            </w:r>
          </w:p>
        </w:tc>
        <w:tc>
          <w:tcPr>
            <w:tcW w:w="1244" w:type="dxa"/>
            <w:tcBorders>
              <w:top w:val="nil"/>
              <w:left w:val="nil"/>
              <w:bottom w:val="single" w:sz="4" w:space="0" w:color="auto"/>
              <w:right w:val="nil"/>
            </w:tcBorders>
            <w:shd w:val="clear" w:color="000000" w:fill="FFFFFF"/>
            <w:noWrap/>
            <w:vAlign w:val="bottom"/>
            <w:hideMark/>
          </w:tcPr>
          <w:p w14:paraId="622FCEA5"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14(6)</w:t>
            </w:r>
          </w:p>
        </w:tc>
        <w:tc>
          <w:tcPr>
            <w:tcW w:w="1560" w:type="dxa"/>
            <w:tcBorders>
              <w:top w:val="nil"/>
              <w:left w:val="nil"/>
              <w:bottom w:val="single" w:sz="4" w:space="0" w:color="auto"/>
              <w:right w:val="nil"/>
            </w:tcBorders>
            <w:shd w:val="clear" w:color="auto" w:fill="auto"/>
            <w:noWrap/>
            <w:vAlign w:val="bottom"/>
            <w:hideMark/>
          </w:tcPr>
          <w:p w14:paraId="5F178727"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4,0- 8,4</w:t>
            </w:r>
          </w:p>
        </w:tc>
      </w:tr>
      <w:tr w:rsidR="00AE064D" w:rsidRPr="00914F08" w14:paraId="47BD1953" w14:textId="77777777" w:rsidTr="00705A92">
        <w:trPr>
          <w:trHeight w:val="278"/>
          <w:jc w:val="center"/>
        </w:trPr>
        <w:tc>
          <w:tcPr>
            <w:tcW w:w="2265" w:type="dxa"/>
            <w:tcBorders>
              <w:top w:val="nil"/>
              <w:left w:val="nil"/>
              <w:bottom w:val="single" w:sz="4" w:space="0" w:color="auto"/>
              <w:right w:val="nil"/>
            </w:tcBorders>
            <w:shd w:val="clear" w:color="auto" w:fill="auto"/>
            <w:noWrap/>
            <w:vAlign w:val="bottom"/>
            <w:hideMark/>
          </w:tcPr>
          <w:p w14:paraId="7859680B"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504" w:type="dxa"/>
            <w:tcBorders>
              <w:top w:val="nil"/>
              <w:left w:val="nil"/>
              <w:bottom w:val="single" w:sz="4" w:space="0" w:color="auto"/>
              <w:right w:val="nil"/>
            </w:tcBorders>
            <w:shd w:val="clear" w:color="auto" w:fill="auto"/>
            <w:noWrap/>
            <w:vAlign w:val="bottom"/>
            <w:hideMark/>
          </w:tcPr>
          <w:p w14:paraId="18F95BF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244" w:type="dxa"/>
            <w:tcBorders>
              <w:top w:val="nil"/>
              <w:left w:val="nil"/>
              <w:bottom w:val="single" w:sz="4" w:space="0" w:color="auto"/>
              <w:right w:val="nil"/>
            </w:tcBorders>
            <w:shd w:val="clear" w:color="000000" w:fill="FFFFFF"/>
            <w:noWrap/>
            <w:vAlign w:val="bottom"/>
            <w:hideMark/>
          </w:tcPr>
          <w:p w14:paraId="314AEBA0"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186(79,1)</w:t>
            </w:r>
          </w:p>
        </w:tc>
        <w:tc>
          <w:tcPr>
            <w:tcW w:w="1560" w:type="dxa"/>
            <w:tcBorders>
              <w:top w:val="nil"/>
              <w:left w:val="nil"/>
              <w:bottom w:val="single" w:sz="4" w:space="0" w:color="auto"/>
              <w:right w:val="nil"/>
            </w:tcBorders>
            <w:shd w:val="clear" w:color="auto" w:fill="auto"/>
            <w:noWrap/>
            <w:vAlign w:val="bottom"/>
            <w:hideMark/>
          </w:tcPr>
          <w:p w14:paraId="223E367D"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74,9 - 83,3</w:t>
            </w:r>
          </w:p>
        </w:tc>
      </w:tr>
      <w:tr w:rsidR="00AE064D" w:rsidRPr="00914F08" w14:paraId="7470F9A0"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3C815CAB"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proofErr w:type="spellStart"/>
            <w:r w:rsidRPr="00914F08">
              <w:rPr>
                <w:rFonts w:ascii="Arial" w:eastAsia="Times New Roman" w:hAnsi="Arial" w:cs="Arial"/>
                <w:b/>
                <w:bCs/>
                <w:color w:val="000000"/>
                <w:sz w:val="24"/>
                <w:szCs w:val="24"/>
                <w:lang w:val="en-US"/>
              </w:rPr>
              <w:t>Fármacos</w:t>
            </w:r>
            <w:proofErr w:type="spellEnd"/>
          </w:p>
        </w:tc>
        <w:tc>
          <w:tcPr>
            <w:tcW w:w="1504" w:type="dxa"/>
            <w:tcBorders>
              <w:top w:val="nil"/>
              <w:left w:val="nil"/>
              <w:bottom w:val="nil"/>
              <w:right w:val="nil"/>
            </w:tcBorders>
            <w:shd w:val="clear" w:color="auto" w:fill="auto"/>
            <w:noWrap/>
            <w:vAlign w:val="bottom"/>
            <w:hideMark/>
          </w:tcPr>
          <w:p w14:paraId="49CCEBF4"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244" w:type="dxa"/>
            <w:tcBorders>
              <w:top w:val="nil"/>
              <w:left w:val="nil"/>
              <w:bottom w:val="nil"/>
              <w:right w:val="nil"/>
            </w:tcBorders>
            <w:shd w:val="clear" w:color="000000" w:fill="FFFFFF"/>
            <w:noWrap/>
            <w:vAlign w:val="bottom"/>
            <w:hideMark/>
          </w:tcPr>
          <w:p w14:paraId="5584D5B1"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560" w:type="dxa"/>
            <w:tcBorders>
              <w:top w:val="nil"/>
              <w:left w:val="nil"/>
              <w:bottom w:val="nil"/>
              <w:right w:val="nil"/>
            </w:tcBorders>
            <w:shd w:val="clear" w:color="auto" w:fill="auto"/>
            <w:noWrap/>
            <w:vAlign w:val="bottom"/>
            <w:hideMark/>
          </w:tcPr>
          <w:p w14:paraId="6406D046"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r>
      <w:tr w:rsidR="00AE064D" w:rsidRPr="00914F08" w14:paraId="16C9142B"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2D25540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roofErr w:type="spellStart"/>
            <w:r w:rsidRPr="00914F08">
              <w:rPr>
                <w:rFonts w:ascii="Arial" w:eastAsia="Times New Roman" w:hAnsi="Arial" w:cs="Arial"/>
                <w:color w:val="000000"/>
                <w:sz w:val="24"/>
                <w:szCs w:val="24"/>
                <w:lang w:val="en-US"/>
              </w:rPr>
              <w:t>Cafeína</w:t>
            </w:r>
            <w:proofErr w:type="spellEnd"/>
          </w:p>
        </w:tc>
        <w:tc>
          <w:tcPr>
            <w:tcW w:w="1504" w:type="dxa"/>
            <w:tcBorders>
              <w:top w:val="nil"/>
              <w:left w:val="nil"/>
              <w:bottom w:val="nil"/>
              <w:right w:val="nil"/>
            </w:tcBorders>
            <w:shd w:val="clear" w:color="auto" w:fill="auto"/>
            <w:noWrap/>
            <w:vAlign w:val="bottom"/>
            <w:hideMark/>
          </w:tcPr>
          <w:p w14:paraId="0C166A57"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roofErr w:type="spellStart"/>
            <w:r w:rsidRPr="00914F08">
              <w:rPr>
                <w:rFonts w:ascii="Arial" w:eastAsia="Times New Roman" w:hAnsi="Arial" w:cs="Arial"/>
                <w:color w:val="000000"/>
                <w:sz w:val="24"/>
                <w:szCs w:val="24"/>
                <w:lang w:val="en-US"/>
              </w:rPr>
              <w:t>Despertol</w:t>
            </w:r>
            <w:proofErr w:type="spellEnd"/>
          </w:p>
        </w:tc>
        <w:tc>
          <w:tcPr>
            <w:tcW w:w="1244" w:type="dxa"/>
            <w:tcBorders>
              <w:top w:val="nil"/>
              <w:left w:val="nil"/>
              <w:bottom w:val="nil"/>
              <w:right w:val="nil"/>
            </w:tcBorders>
            <w:shd w:val="clear" w:color="000000" w:fill="FFFFFF"/>
            <w:noWrap/>
            <w:vAlign w:val="bottom"/>
            <w:hideMark/>
          </w:tcPr>
          <w:p w14:paraId="52FA497F"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16(6,8)</w:t>
            </w:r>
          </w:p>
        </w:tc>
        <w:tc>
          <w:tcPr>
            <w:tcW w:w="1560" w:type="dxa"/>
            <w:tcBorders>
              <w:top w:val="nil"/>
              <w:left w:val="nil"/>
              <w:bottom w:val="nil"/>
              <w:right w:val="nil"/>
            </w:tcBorders>
            <w:shd w:val="clear" w:color="auto" w:fill="auto"/>
            <w:noWrap/>
            <w:vAlign w:val="bottom"/>
            <w:hideMark/>
          </w:tcPr>
          <w:p w14:paraId="66E26853"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4,2 - 9,4</w:t>
            </w:r>
          </w:p>
        </w:tc>
      </w:tr>
      <w:tr w:rsidR="00AE064D" w:rsidRPr="00914F08" w14:paraId="0AF1B972" w14:textId="77777777" w:rsidTr="00705A92">
        <w:trPr>
          <w:trHeight w:val="278"/>
          <w:jc w:val="center"/>
        </w:trPr>
        <w:tc>
          <w:tcPr>
            <w:tcW w:w="2265" w:type="dxa"/>
            <w:tcBorders>
              <w:top w:val="nil"/>
              <w:left w:val="nil"/>
              <w:bottom w:val="nil"/>
              <w:right w:val="nil"/>
            </w:tcBorders>
            <w:shd w:val="clear" w:color="auto" w:fill="auto"/>
            <w:noWrap/>
            <w:vAlign w:val="bottom"/>
            <w:hideMark/>
          </w:tcPr>
          <w:p w14:paraId="3B176B32"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roofErr w:type="spellStart"/>
            <w:r w:rsidRPr="00914F08">
              <w:rPr>
                <w:rFonts w:ascii="Arial" w:eastAsia="Times New Roman" w:hAnsi="Arial" w:cs="Arial"/>
                <w:color w:val="000000"/>
                <w:sz w:val="24"/>
                <w:szCs w:val="24"/>
                <w:lang w:val="en-US"/>
              </w:rPr>
              <w:t>Cafeína</w:t>
            </w:r>
            <w:proofErr w:type="spellEnd"/>
            <w:r w:rsidRPr="00914F08">
              <w:rPr>
                <w:rFonts w:ascii="Arial" w:eastAsia="Times New Roman" w:hAnsi="Arial" w:cs="Arial"/>
                <w:color w:val="000000"/>
                <w:sz w:val="24"/>
                <w:szCs w:val="24"/>
                <w:lang w:val="en-US"/>
              </w:rPr>
              <w:t xml:space="preserve">, </w:t>
            </w:r>
            <w:proofErr w:type="spellStart"/>
            <w:r w:rsidRPr="00914F08">
              <w:rPr>
                <w:rFonts w:ascii="Arial" w:eastAsia="Times New Roman" w:hAnsi="Arial" w:cs="Arial"/>
                <w:color w:val="000000"/>
                <w:sz w:val="24"/>
                <w:szCs w:val="24"/>
                <w:lang w:val="en-US"/>
              </w:rPr>
              <w:t>Modafinilo</w:t>
            </w:r>
            <w:proofErr w:type="spellEnd"/>
          </w:p>
        </w:tc>
        <w:tc>
          <w:tcPr>
            <w:tcW w:w="1504" w:type="dxa"/>
            <w:tcBorders>
              <w:top w:val="nil"/>
              <w:left w:val="nil"/>
              <w:bottom w:val="single" w:sz="4" w:space="0" w:color="auto"/>
              <w:right w:val="nil"/>
            </w:tcBorders>
            <w:shd w:val="clear" w:color="auto" w:fill="auto"/>
            <w:noWrap/>
            <w:vAlign w:val="bottom"/>
            <w:hideMark/>
          </w:tcPr>
          <w:p w14:paraId="0C783223"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roofErr w:type="spellStart"/>
            <w:r w:rsidRPr="00914F08">
              <w:rPr>
                <w:rFonts w:ascii="Arial" w:eastAsia="Times New Roman" w:hAnsi="Arial" w:cs="Arial"/>
                <w:color w:val="000000"/>
                <w:sz w:val="24"/>
                <w:szCs w:val="24"/>
                <w:lang w:val="en-US"/>
              </w:rPr>
              <w:t>Alertex</w:t>
            </w:r>
            <w:proofErr w:type="spellEnd"/>
          </w:p>
        </w:tc>
        <w:tc>
          <w:tcPr>
            <w:tcW w:w="1244" w:type="dxa"/>
            <w:tcBorders>
              <w:top w:val="nil"/>
              <w:left w:val="nil"/>
              <w:bottom w:val="single" w:sz="4" w:space="0" w:color="auto"/>
              <w:right w:val="nil"/>
            </w:tcBorders>
            <w:shd w:val="clear" w:color="000000" w:fill="FFFFFF"/>
            <w:noWrap/>
            <w:vAlign w:val="bottom"/>
            <w:hideMark/>
          </w:tcPr>
          <w:p w14:paraId="7A281B70"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14(6,0)</w:t>
            </w:r>
          </w:p>
        </w:tc>
        <w:tc>
          <w:tcPr>
            <w:tcW w:w="1560" w:type="dxa"/>
            <w:tcBorders>
              <w:top w:val="nil"/>
              <w:left w:val="nil"/>
              <w:bottom w:val="single" w:sz="4" w:space="0" w:color="auto"/>
              <w:right w:val="nil"/>
            </w:tcBorders>
            <w:shd w:val="clear" w:color="auto" w:fill="auto"/>
            <w:noWrap/>
            <w:vAlign w:val="bottom"/>
            <w:hideMark/>
          </w:tcPr>
          <w:p w14:paraId="6FB196C3"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3,6 - 8,4</w:t>
            </w:r>
          </w:p>
        </w:tc>
      </w:tr>
      <w:tr w:rsidR="00AE064D" w:rsidRPr="00914F08" w14:paraId="26016638" w14:textId="77777777" w:rsidTr="00705A92">
        <w:trPr>
          <w:trHeight w:val="292"/>
          <w:jc w:val="center"/>
        </w:trPr>
        <w:tc>
          <w:tcPr>
            <w:tcW w:w="2265" w:type="dxa"/>
            <w:tcBorders>
              <w:top w:val="nil"/>
              <w:left w:val="nil"/>
              <w:bottom w:val="single" w:sz="8" w:space="0" w:color="auto"/>
              <w:right w:val="nil"/>
            </w:tcBorders>
            <w:shd w:val="clear" w:color="auto" w:fill="auto"/>
            <w:noWrap/>
            <w:vAlign w:val="bottom"/>
            <w:hideMark/>
          </w:tcPr>
          <w:p w14:paraId="7663EE9A"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504" w:type="dxa"/>
            <w:tcBorders>
              <w:top w:val="nil"/>
              <w:left w:val="nil"/>
              <w:bottom w:val="single" w:sz="8" w:space="0" w:color="auto"/>
              <w:right w:val="nil"/>
            </w:tcBorders>
            <w:shd w:val="clear" w:color="auto" w:fill="auto"/>
            <w:noWrap/>
            <w:vAlign w:val="bottom"/>
            <w:hideMark/>
          </w:tcPr>
          <w:p w14:paraId="72C57FE1"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244" w:type="dxa"/>
            <w:tcBorders>
              <w:top w:val="nil"/>
              <w:left w:val="nil"/>
              <w:bottom w:val="single" w:sz="8" w:space="0" w:color="auto"/>
              <w:right w:val="nil"/>
            </w:tcBorders>
            <w:shd w:val="clear" w:color="000000" w:fill="FFFFFF"/>
            <w:noWrap/>
            <w:vAlign w:val="bottom"/>
            <w:hideMark/>
          </w:tcPr>
          <w:p w14:paraId="1DC7D759"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30(12,8)</w:t>
            </w:r>
          </w:p>
        </w:tc>
        <w:tc>
          <w:tcPr>
            <w:tcW w:w="1560" w:type="dxa"/>
            <w:tcBorders>
              <w:top w:val="nil"/>
              <w:left w:val="nil"/>
              <w:bottom w:val="single" w:sz="8" w:space="0" w:color="auto"/>
              <w:right w:val="nil"/>
            </w:tcBorders>
            <w:shd w:val="clear" w:color="auto" w:fill="auto"/>
            <w:noWrap/>
            <w:vAlign w:val="bottom"/>
            <w:hideMark/>
          </w:tcPr>
          <w:p w14:paraId="169D2782"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9,37 - 16,2</w:t>
            </w:r>
          </w:p>
        </w:tc>
      </w:tr>
    </w:tbl>
    <w:p w14:paraId="1EBB2A78" w14:textId="62E32715" w:rsidR="00AE064D" w:rsidRPr="00914F08" w:rsidRDefault="00AE064D" w:rsidP="00AE064D">
      <w:pPr>
        <w:tabs>
          <w:tab w:val="left" w:pos="1260"/>
        </w:tabs>
        <w:spacing w:after="0" w:line="240" w:lineRule="auto"/>
        <w:jc w:val="both"/>
        <w:rPr>
          <w:rFonts w:ascii="Arial" w:eastAsia="Calibri" w:hAnsi="Arial" w:cs="Arial"/>
          <w:iCs/>
          <w:sz w:val="24"/>
          <w:szCs w:val="24"/>
        </w:rPr>
      </w:pPr>
      <w:r w:rsidRPr="00914F08">
        <w:rPr>
          <w:rFonts w:ascii="Arial" w:eastAsia="Calibri" w:hAnsi="Arial" w:cs="Arial"/>
          <w:iCs/>
          <w:sz w:val="24"/>
          <w:szCs w:val="24"/>
        </w:rPr>
        <w:tab/>
      </w:r>
      <w:r w:rsidRPr="00914F08">
        <w:rPr>
          <w:rFonts w:ascii="Arial" w:eastAsia="Calibri" w:hAnsi="Arial" w:cs="Arial"/>
          <w:b/>
          <w:iCs/>
          <w:sz w:val="24"/>
          <w:szCs w:val="24"/>
        </w:rPr>
        <w:t>Fuente:</w:t>
      </w:r>
      <w:r w:rsidRPr="00914F08">
        <w:rPr>
          <w:rFonts w:ascii="Arial" w:eastAsia="Calibri" w:hAnsi="Arial" w:cs="Arial"/>
          <w:iCs/>
          <w:sz w:val="24"/>
          <w:szCs w:val="24"/>
        </w:rPr>
        <w:t xml:space="preserve"> </w:t>
      </w:r>
      <w:r w:rsidR="00705A92" w:rsidRPr="00914F08">
        <w:rPr>
          <w:rFonts w:ascii="Arial" w:eastAsia="Calibri" w:hAnsi="Arial" w:cs="Arial"/>
          <w:iCs/>
          <w:sz w:val="24"/>
          <w:szCs w:val="24"/>
        </w:rPr>
        <w:t>Instrumentos aplicados</w:t>
      </w:r>
    </w:p>
    <w:p w14:paraId="0D58F2F2" w14:textId="74F54CC8" w:rsidR="00AE064D" w:rsidRPr="00914F08" w:rsidRDefault="00AE064D" w:rsidP="00AE064D">
      <w:pPr>
        <w:tabs>
          <w:tab w:val="left" w:pos="1260"/>
        </w:tabs>
        <w:spacing w:after="0" w:line="240" w:lineRule="auto"/>
        <w:jc w:val="both"/>
        <w:rPr>
          <w:rFonts w:ascii="Arial" w:eastAsia="Calibri" w:hAnsi="Arial" w:cs="Arial"/>
          <w:iCs/>
          <w:sz w:val="24"/>
          <w:szCs w:val="24"/>
        </w:rPr>
      </w:pPr>
      <w:r w:rsidRPr="00914F08">
        <w:rPr>
          <w:rFonts w:ascii="Arial" w:eastAsia="Calibri" w:hAnsi="Arial" w:cs="Arial"/>
          <w:iCs/>
          <w:sz w:val="24"/>
          <w:szCs w:val="24"/>
        </w:rPr>
        <w:tab/>
      </w:r>
      <w:r w:rsidRPr="00914F08">
        <w:rPr>
          <w:rFonts w:ascii="Arial" w:eastAsia="Calibri" w:hAnsi="Arial" w:cs="Arial"/>
          <w:b/>
          <w:iCs/>
          <w:sz w:val="24"/>
          <w:szCs w:val="24"/>
        </w:rPr>
        <w:t>Elaboración:</w:t>
      </w:r>
      <w:r w:rsidRPr="00914F08">
        <w:rPr>
          <w:rFonts w:ascii="Arial" w:eastAsia="Calibri" w:hAnsi="Arial" w:cs="Arial"/>
          <w:iCs/>
          <w:sz w:val="24"/>
          <w:szCs w:val="24"/>
        </w:rPr>
        <w:t xml:space="preserve"> </w:t>
      </w:r>
      <w:r w:rsidR="00705A92" w:rsidRPr="00914F08">
        <w:rPr>
          <w:rFonts w:ascii="Arial" w:eastAsia="Calibri" w:hAnsi="Arial" w:cs="Arial"/>
          <w:iCs/>
          <w:sz w:val="24"/>
          <w:szCs w:val="24"/>
        </w:rPr>
        <w:t>Elaboración propia.</w:t>
      </w:r>
    </w:p>
    <w:p w14:paraId="7CFA813B" w14:textId="77777777" w:rsidR="00705A92" w:rsidRPr="00914F08" w:rsidRDefault="00705A92" w:rsidP="00AE064D">
      <w:pPr>
        <w:spacing w:after="0" w:line="240" w:lineRule="auto"/>
        <w:jc w:val="both"/>
        <w:rPr>
          <w:rFonts w:ascii="Arial" w:eastAsia="Calibri" w:hAnsi="Arial" w:cs="Arial"/>
          <w:iCs/>
          <w:sz w:val="24"/>
          <w:szCs w:val="24"/>
        </w:rPr>
      </w:pPr>
    </w:p>
    <w:p w14:paraId="63597F5F" w14:textId="77777777" w:rsidR="00705A92" w:rsidRPr="00914F08" w:rsidRDefault="00AE064D" w:rsidP="00AE064D">
      <w:pPr>
        <w:spacing w:after="0" w:line="240" w:lineRule="auto"/>
        <w:jc w:val="both"/>
        <w:rPr>
          <w:rFonts w:ascii="Arial" w:eastAsia="Calibri" w:hAnsi="Arial" w:cs="Arial"/>
          <w:iCs/>
          <w:sz w:val="24"/>
          <w:szCs w:val="24"/>
        </w:rPr>
      </w:pPr>
      <w:r w:rsidRPr="00914F08">
        <w:rPr>
          <w:rFonts w:ascii="Arial" w:eastAsia="Calibri" w:hAnsi="Arial" w:cs="Arial"/>
          <w:iCs/>
          <w:sz w:val="24"/>
          <w:szCs w:val="24"/>
        </w:rPr>
        <w:t>En forma general, el 100% de la población consume algún tipo de psicoestimulante menor, de venta libre.</w:t>
      </w:r>
      <w:r w:rsidR="00705A92" w:rsidRPr="00914F08">
        <w:rPr>
          <w:rFonts w:ascii="Arial" w:eastAsia="Calibri" w:hAnsi="Arial" w:cs="Arial"/>
          <w:iCs/>
          <w:sz w:val="24"/>
          <w:szCs w:val="24"/>
        </w:rPr>
        <w:t xml:space="preserve"> </w:t>
      </w:r>
    </w:p>
    <w:p w14:paraId="286CEDFB" w14:textId="78D375C2" w:rsidR="00AE064D" w:rsidRPr="00914F08" w:rsidRDefault="00AE064D" w:rsidP="00AE064D">
      <w:pPr>
        <w:spacing w:after="0" w:line="240" w:lineRule="auto"/>
        <w:jc w:val="both"/>
        <w:rPr>
          <w:rFonts w:ascii="Arial" w:eastAsia="Calibri" w:hAnsi="Arial" w:cs="Arial"/>
          <w:iCs/>
          <w:sz w:val="24"/>
          <w:szCs w:val="24"/>
        </w:rPr>
      </w:pPr>
      <w:r w:rsidRPr="00914F08">
        <w:rPr>
          <w:rFonts w:ascii="Arial" w:eastAsia="Calibri" w:hAnsi="Arial" w:cs="Arial"/>
          <w:iCs/>
          <w:sz w:val="24"/>
          <w:szCs w:val="24"/>
        </w:rPr>
        <w:t xml:space="preserve">  </w:t>
      </w:r>
    </w:p>
    <w:p w14:paraId="75F27545" w14:textId="7B785A77" w:rsidR="00AE064D" w:rsidRPr="00914F08" w:rsidRDefault="00AE064D" w:rsidP="00AE064D">
      <w:pPr>
        <w:spacing w:after="0" w:line="240" w:lineRule="auto"/>
        <w:jc w:val="both"/>
        <w:rPr>
          <w:rFonts w:ascii="Arial" w:eastAsia="Calibri" w:hAnsi="Arial" w:cs="Arial"/>
          <w:iCs/>
          <w:sz w:val="24"/>
          <w:szCs w:val="24"/>
        </w:rPr>
      </w:pPr>
      <w:r w:rsidRPr="00914F08">
        <w:rPr>
          <w:rFonts w:ascii="Arial" w:eastAsia="Calibri" w:hAnsi="Arial" w:cs="Arial"/>
          <w:iCs/>
          <w:sz w:val="24"/>
          <w:szCs w:val="24"/>
        </w:rPr>
        <w:t>Al analizar los patrones de consumo por semestre, se obtuvo lo siguiente:</w:t>
      </w:r>
    </w:p>
    <w:p w14:paraId="53338A34" w14:textId="77777777" w:rsidR="00705A92" w:rsidRPr="00914F08" w:rsidRDefault="00705A92" w:rsidP="00AE064D">
      <w:pPr>
        <w:spacing w:after="0" w:line="240" w:lineRule="auto"/>
        <w:jc w:val="both"/>
        <w:rPr>
          <w:rFonts w:ascii="Arial" w:eastAsia="Calibri" w:hAnsi="Arial" w:cs="Arial"/>
          <w:iCs/>
          <w:sz w:val="24"/>
          <w:szCs w:val="24"/>
        </w:rPr>
      </w:pPr>
    </w:p>
    <w:p w14:paraId="7189D605" w14:textId="77777777" w:rsidR="00AE064D" w:rsidRPr="00914F08" w:rsidRDefault="00AE064D" w:rsidP="00AE064D">
      <w:pPr>
        <w:spacing w:after="0" w:line="240" w:lineRule="auto"/>
        <w:jc w:val="center"/>
        <w:rPr>
          <w:rFonts w:ascii="Arial" w:eastAsia="Calibri" w:hAnsi="Arial" w:cs="Arial"/>
          <w:iCs/>
          <w:sz w:val="24"/>
          <w:szCs w:val="24"/>
        </w:rPr>
      </w:pPr>
      <w:r w:rsidRPr="00914F08">
        <w:rPr>
          <w:rFonts w:ascii="Arial" w:hAnsi="Arial" w:cs="Arial"/>
          <w:noProof/>
          <w:sz w:val="24"/>
          <w:szCs w:val="24"/>
          <w:lang w:val="en-US"/>
        </w:rPr>
        <w:drawing>
          <wp:inline distT="0" distB="0" distL="0" distR="0" wp14:anchorId="01549857" wp14:editId="27A46BED">
            <wp:extent cx="3855110" cy="2421331"/>
            <wp:effectExtent l="0" t="0" r="12065" b="1714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FE464B1" w14:textId="6DA801D0" w:rsidR="00AE064D" w:rsidRPr="00914F08" w:rsidRDefault="00AE064D" w:rsidP="00705A92">
      <w:pPr>
        <w:tabs>
          <w:tab w:val="left" w:pos="708"/>
          <w:tab w:val="left" w:pos="1416"/>
          <w:tab w:val="left" w:pos="2124"/>
          <w:tab w:val="left" w:pos="2832"/>
          <w:tab w:val="left" w:pos="3540"/>
          <w:tab w:val="left" w:pos="4248"/>
          <w:tab w:val="left" w:pos="4956"/>
          <w:tab w:val="left" w:pos="5664"/>
          <w:tab w:val="left" w:pos="6372"/>
          <w:tab w:val="left" w:pos="7080"/>
          <w:tab w:val="right" w:pos="8504"/>
        </w:tabs>
        <w:spacing w:after="0" w:line="240" w:lineRule="auto"/>
        <w:rPr>
          <w:rFonts w:ascii="Arial" w:hAnsi="Arial" w:cs="Arial"/>
          <w:sz w:val="24"/>
          <w:szCs w:val="24"/>
        </w:rPr>
      </w:pPr>
      <w:r w:rsidRPr="00914F08">
        <w:rPr>
          <w:rFonts w:ascii="Arial" w:hAnsi="Arial" w:cs="Arial"/>
          <w:b/>
          <w:sz w:val="24"/>
          <w:szCs w:val="24"/>
        </w:rPr>
        <w:tab/>
      </w:r>
      <w:r w:rsidRPr="00914F08">
        <w:rPr>
          <w:rFonts w:ascii="Arial" w:hAnsi="Arial" w:cs="Arial"/>
          <w:b/>
          <w:sz w:val="24"/>
          <w:szCs w:val="24"/>
        </w:rPr>
        <w:tab/>
        <w:t>Fuente</w:t>
      </w:r>
      <w:r w:rsidR="00705A92" w:rsidRPr="00914F08">
        <w:rPr>
          <w:rFonts w:ascii="Arial" w:hAnsi="Arial" w:cs="Arial"/>
          <w:b/>
          <w:sz w:val="24"/>
          <w:szCs w:val="24"/>
        </w:rPr>
        <w:t>:</w:t>
      </w:r>
      <w:r w:rsidR="00705A92" w:rsidRPr="00914F08">
        <w:rPr>
          <w:rFonts w:ascii="Arial" w:hAnsi="Arial" w:cs="Arial"/>
          <w:bCs/>
          <w:sz w:val="24"/>
          <w:szCs w:val="24"/>
        </w:rPr>
        <w:t xml:space="preserve"> Instrumentos aplicados</w:t>
      </w:r>
      <w:r w:rsidR="00705A92" w:rsidRPr="00914F08">
        <w:rPr>
          <w:rFonts w:ascii="Arial" w:hAnsi="Arial" w:cs="Arial"/>
          <w:sz w:val="24"/>
          <w:szCs w:val="24"/>
        </w:rPr>
        <w:tab/>
      </w:r>
      <w:r w:rsidR="00705A92" w:rsidRPr="00914F08">
        <w:rPr>
          <w:rFonts w:ascii="Arial" w:hAnsi="Arial" w:cs="Arial"/>
          <w:sz w:val="24"/>
          <w:szCs w:val="24"/>
        </w:rPr>
        <w:tab/>
      </w:r>
    </w:p>
    <w:p w14:paraId="07F7C347" w14:textId="10E68C8E" w:rsidR="00AE064D" w:rsidRPr="00914F08" w:rsidRDefault="00AE064D" w:rsidP="00AE064D">
      <w:pPr>
        <w:spacing w:after="0" w:line="240" w:lineRule="auto"/>
        <w:rPr>
          <w:rFonts w:ascii="Arial" w:hAnsi="Arial" w:cs="Arial"/>
          <w:sz w:val="24"/>
          <w:szCs w:val="24"/>
        </w:rPr>
      </w:pPr>
      <w:r w:rsidRPr="00914F08">
        <w:rPr>
          <w:rFonts w:ascii="Arial" w:hAnsi="Arial" w:cs="Arial"/>
          <w:b/>
          <w:sz w:val="24"/>
          <w:szCs w:val="24"/>
        </w:rPr>
        <w:tab/>
      </w:r>
      <w:r w:rsidRPr="00914F08">
        <w:rPr>
          <w:rFonts w:ascii="Arial" w:hAnsi="Arial" w:cs="Arial"/>
          <w:b/>
          <w:sz w:val="24"/>
          <w:szCs w:val="24"/>
        </w:rPr>
        <w:tab/>
        <w:t>Elaboración:</w:t>
      </w:r>
      <w:r w:rsidRPr="00914F08">
        <w:rPr>
          <w:rFonts w:ascii="Arial" w:hAnsi="Arial" w:cs="Arial"/>
          <w:sz w:val="24"/>
          <w:szCs w:val="24"/>
        </w:rPr>
        <w:t xml:space="preserve"> </w:t>
      </w:r>
      <w:r w:rsidR="00705A92" w:rsidRPr="00914F08">
        <w:rPr>
          <w:rFonts w:ascii="Arial" w:hAnsi="Arial" w:cs="Arial"/>
          <w:sz w:val="24"/>
          <w:szCs w:val="24"/>
        </w:rPr>
        <w:t>Elaboración propia</w:t>
      </w:r>
    </w:p>
    <w:p w14:paraId="15BB1F0E" w14:textId="77777777" w:rsidR="00AE064D" w:rsidRPr="00914F08" w:rsidRDefault="00AE064D" w:rsidP="00AE064D">
      <w:pPr>
        <w:spacing w:after="0" w:line="240" w:lineRule="auto"/>
        <w:jc w:val="center"/>
        <w:rPr>
          <w:rFonts w:ascii="Arial" w:eastAsia="Calibri" w:hAnsi="Arial" w:cs="Arial"/>
          <w:sz w:val="24"/>
          <w:szCs w:val="24"/>
        </w:rPr>
      </w:pPr>
      <w:r w:rsidRPr="00914F08">
        <w:rPr>
          <w:rFonts w:ascii="Arial" w:hAnsi="Arial" w:cs="Arial"/>
          <w:noProof/>
          <w:sz w:val="24"/>
          <w:szCs w:val="24"/>
          <w:lang w:val="en-US"/>
        </w:rPr>
        <w:lastRenderedPageBreak/>
        <w:drawing>
          <wp:inline distT="0" distB="0" distL="0" distR="0" wp14:anchorId="2A6077BB" wp14:editId="6ECC540C">
            <wp:extent cx="4001414" cy="2808605"/>
            <wp:effectExtent l="0" t="0" r="18415" b="1079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6A32943" w14:textId="1E02CDD8" w:rsidR="00AE064D" w:rsidRPr="00914F08" w:rsidRDefault="00AE064D" w:rsidP="00AE064D">
      <w:pPr>
        <w:spacing w:after="0" w:line="240" w:lineRule="auto"/>
        <w:jc w:val="center"/>
        <w:rPr>
          <w:rFonts w:ascii="Arial" w:eastAsia="Calibri" w:hAnsi="Arial" w:cs="Arial"/>
          <w:sz w:val="24"/>
          <w:szCs w:val="24"/>
        </w:rPr>
      </w:pPr>
      <w:r w:rsidRPr="00914F08">
        <w:rPr>
          <w:rFonts w:ascii="Arial" w:eastAsia="Calibri" w:hAnsi="Arial" w:cs="Arial"/>
          <w:b/>
          <w:sz w:val="24"/>
          <w:szCs w:val="24"/>
        </w:rPr>
        <w:t>Fuente:</w:t>
      </w:r>
      <w:r w:rsidRPr="00914F08">
        <w:rPr>
          <w:rFonts w:ascii="Arial" w:eastAsia="Calibri" w:hAnsi="Arial" w:cs="Arial"/>
          <w:sz w:val="24"/>
          <w:szCs w:val="24"/>
        </w:rPr>
        <w:t xml:space="preserve"> </w:t>
      </w:r>
      <w:r w:rsidR="00705A92" w:rsidRPr="00914F08">
        <w:rPr>
          <w:rFonts w:ascii="Arial" w:eastAsia="Calibri" w:hAnsi="Arial" w:cs="Arial"/>
          <w:sz w:val="24"/>
          <w:szCs w:val="24"/>
        </w:rPr>
        <w:t xml:space="preserve">Instrumentos aplicados </w:t>
      </w:r>
    </w:p>
    <w:p w14:paraId="7C72CC9F" w14:textId="5F2ECA24" w:rsidR="00AE064D" w:rsidRPr="00914F08" w:rsidRDefault="00AE064D" w:rsidP="00AE064D">
      <w:pPr>
        <w:spacing w:after="0" w:line="240" w:lineRule="auto"/>
        <w:jc w:val="center"/>
        <w:rPr>
          <w:rFonts w:ascii="Arial" w:eastAsia="Calibri" w:hAnsi="Arial" w:cs="Arial"/>
          <w:sz w:val="24"/>
          <w:szCs w:val="24"/>
        </w:rPr>
      </w:pPr>
      <w:r w:rsidRPr="00914F08">
        <w:rPr>
          <w:rFonts w:ascii="Arial" w:eastAsia="Calibri" w:hAnsi="Arial" w:cs="Arial"/>
          <w:b/>
          <w:sz w:val="24"/>
          <w:szCs w:val="24"/>
        </w:rPr>
        <w:t>Elaboración:</w:t>
      </w:r>
      <w:r w:rsidRPr="00914F08">
        <w:rPr>
          <w:rFonts w:ascii="Arial" w:eastAsia="Calibri" w:hAnsi="Arial" w:cs="Arial"/>
          <w:sz w:val="24"/>
          <w:szCs w:val="24"/>
        </w:rPr>
        <w:t xml:space="preserve"> </w:t>
      </w:r>
      <w:r w:rsidR="00705A92" w:rsidRPr="00914F08">
        <w:rPr>
          <w:rFonts w:ascii="Arial" w:eastAsia="Calibri" w:hAnsi="Arial" w:cs="Arial"/>
          <w:sz w:val="24"/>
          <w:szCs w:val="24"/>
        </w:rPr>
        <w:t xml:space="preserve">Elaboración propia </w:t>
      </w:r>
    </w:p>
    <w:p w14:paraId="210DC110" w14:textId="77777777" w:rsidR="00705A92" w:rsidRPr="00914F08" w:rsidRDefault="00705A92" w:rsidP="00AE064D">
      <w:pPr>
        <w:spacing w:after="0" w:line="240" w:lineRule="auto"/>
        <w:jc w:val="center"/>
        <w:rPr>
          <w:rFonts w:ascii="Arial" w:eastAsia="Calibri" w:hAnsi="Arial" w:cs="Arial"/>
          <w:sz w:val="24"/>
          <w:szCs w:val="24"/>
        </w:rPr>
      </w:pPr>
    </w:p>
    <w:p w14:paraId="5B20F56F" w14:textId="77777777" w:rsidR="00AE064D" w:rsidRPr="00914F08" w:rsidRDefault="00AE064D" w:rsidP="00AE064D">
      <w:pPr>
        <w:spacing w:after="0" w:line="240" w:lineRule="auto"/>
        <w:jc w:val="center"/>
        <w:rPr>
          <w:rFonts w:ascii="Arial" w:eastAsia="Calibri" w:hAnsi="Arial" w:cs="Arial"/>
          <w:iCs/>
          <w:sz w:val="24"/>
          <w:szCs w:val="24"/>
        </w:rPr>
      </w:pPr>
    </w:p>
    <w:p w14:paraId="1A747EF7" w14:textId="77777777" w:rsidR="00AE064D" w:rsidRPr="00914F08" w:rsidRDefault="00AE064D" w:rsidP="00AE064D">
      <w:pPr>
        <w:spacing w:after="0" w:line="240" w:lineRule="auto"/>
        <w:jc w:val="center"/>
        <w:rPr>
          <w:rFonts w:ascii="Arial" w:eastAsia="Calibri" w:hAnsi="Arial" w:cs="Arial"/>
          <w:iCs/>
          <w:sz w:val="24"/>
          <w:szCs w:val="24"/>
        </w:rPr>
      </w:pPr>
      <w:r w:rsidRPr="00914F08">
        <w:rPr>
          <w:rFonts w:ascii="Arial" w:hAnsi="Arial" w:cs="Arial"/>
          <w:noProof/>
          <w:sz w:val="24"/>
          <w:szCs w:val="24"/>
          <w:lang w:val="en-US"/>
        </w:rPr>
        <w:drawing>
          <wp:inline distT="0" distB="0" distL="0" distR="0" wp14:anchorId="4D3687E3" wp14:editId="71C3577C">
            <wp:extent cx="4010891" cy="2473036"/>
            <wp:effectExtent l="0" t="0" r="8890" b="381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23782D4" w14:textId="12F69DD0" w:rsidR="00AE064D" w:rsidRPr="00914F08" w:rsidRDefault="00AE064D" w:rsidP="00AE064D">
      <w:pPr>
        <w:tabs>
          <w:tab w:val="left" w:pos="1260"/>
        </w:tabs>
        <w:spacing w:after="0" w:line="240" w:lineRule="auto"/>
        <w:rPr>
          <w:rFonts w:ascii="Arial" w:eastAsia="Calibri" w:hAnsi="Arial" w:cs="Arial"/>
          <w:iCs/>
          <w:sz w:val="24"/>
          <w:szCs w:val="24"/>
        </w:rPr>
      </w:pPr>
      <w:r w:rsidRPr="00914F08">
        <w:rPr>
          <w:rFonts w:ascii="Arial" w:eastAsia="Calibri" w:hAnsi="Arial" w:cs="Arial"/>
          <w:b/>
          <w:iCs/>
          <w:sz w:val="24"/>
          <w:szCs w:val="24"/>
        </w:rPr>
        <w:tab/>
        <w:t>Fuente:</w:t>
      </w:r>
      <w:r w:rsidRPr="00914F08">
        <w:rPr>
          <w:rFonts w:ascii="Arial" w:eastAsia="Calibri" w:hAnsi="Arial" w:cs="Arial"/>
          <w:iCs/>
          <w:sz w:val="24"/>
          <w:szCs w:val="24"/>
        </w:rPr>
        <w:t xml:space="preserve"> </w:t>
      </w:r>
      <w:r w:rsidR="00705A92" w:rsidRPr="00914F08">
        <w:rPr>
          <w:rFonts w:ascii="Arial" w:eastAsia="Calibri" w:hAnsi="Arial" w:cs="Arial"/>
          <w:iCs/>
          <w:sz w:val="24"/>
          <w:szCs w:val="24"/>
        </w:rPr>
        <w:t xml:space="preserve">Instrumentos aplicados </w:t>
      </w:r>
    </w:p>
    <w:p w14:paraId="26A2C23A" w14:textId="16D1C9CF" w:rsidR="00AE064D" w:rsidRPr="00914F08" w:rsidRDefault="00AE064D" w:rsidP="00AE064D">
      <w:pPr>
        <w:tabs>
          <w:tab w:val="left" w:pos="1260"/>
        </w:tabs>
        <w:spacing w:after="0" w:line="240" w:lineRule="auto"/>
        <w:rPr>
          <w:rFonts w:ascii="Arial" w:eastAsia="Calibri" w:hAnsi="Arial" w:cs="Arial"/>
          <w:iCs/>
          <w:sz w:val="24"/>
          <w:szCs w:val="24"/>
        </w:rPr>
      </w:pPr>
      <w:r w:rsidRPr="00914F08">
        <w:rPr>
          <w:rFonts w:ascii="Arial" w:eastAsia="Calibri" w:hAnsi="Arial" w:cs="Arial"/>
          <w:b/>
          <w:iCs/>
          <w:sz w:val="24"/>
          <w:szCs w:val="24"/>
        </w:rPr>
        <w:tab/>
        <w:t>Elaboración:</w:t>
      </w:r>
      <w:r w:rsidRPr="00914F08">
        <w:rPr>
          <w:rFonts w:ascii="Arial" w:eastAsia="Calibri" w:hAnsi="Arial" w:cs="Arial"/>
          <w:iCs/>
          <w:sz w:val="24"/>
          <w:szCs w:val="24"/>
        </w:rPr>
        <w:t xml:space="preserve"> </w:t>
      </w:r>
      <w:r w:rsidR="00705A92" w:rsidRPr="00914F08">
        <w:rPr>
          <w:rFonts w:ascii="Arial" w:eastAsia="Calibri" w:hAnsi="Arial" w:cs="Arial"/>
          <w:iCs/>
          <w:sz w:val="24"/>
          <w:szCs w:val="24"/>
        </w:rPr>
        <w:t xml:space="preserve">elaboración propia </w:t>
      </w:r>
    </w:p>
    <w:p w14:paraId="4D02024A" w14:textId="77777777" w:rsidR="00AE064D" w:rsidRPr="00914F08" w:rsidRDefault="00AE064D" w:rsidP="00AE064D">
      <w:pPr>
        <w:tabs>
          <w:tab w:val="left" w:pos="1260"/>
        </w:tabs>
        <w:spacing w:after="0" w:line="240" w:lineRule="auto"/>
        <w:rPr>
          <w:rFonts w:ascii="Arial" w:eastAsia="Calibri" w:hAnsi="Arial" w:cs="Arial"/>
          <w:iCs/>
          <w:sz w:val="24"/>
          <w:szCs w:val="24"/>
        </w:rPr>
      </w:pPr>
    </w:p>
    <w:p w14:paraId="611EABD8" w14:textId="77777777" w:rsidR="00AE064D" w:rsidRPr="00914F08" w:rsidRDefault="00AE064D" w:rsidP="00AE064D">
      <w:pPr>
        <w:spacing w:after="0" w:line="240" w:lineRule="auto"/>
        <w:jc w:val="both"/>
        <w:rPr>
          <w:rFonts w:ascii="Arial" w:hAnsi="Arial" w:cs="Arial"/>
          <w:sz w:val="24"/>
          <w:szCs w:val="24"/>
        </w:rPr>
      </w:pPr>
      <w:r w:rsidRPr="00914F08">
        <w:rPr>
          <w:rFonts w:ascii="Arial" w:hAnsi="Arial" w:cs="Arial"/>
          <w:sz w:val="24"/>
          <w:szCs w:val="24"/>
        </w:rPr>
        <w:t>Al indagar a los investigados, sobre el comportamiento del consumo semanal, se obtuvo lo siguiente:</w:t>
      </w:r>
    </w:p>
    <w:tbl>
      <w:tblPr>
        <w:tblW w:w="5708" w:type="dxa"/>
        <w:jc w:val="center"/>
        <w:tblLook w:val="04A0" w:firstRow="1" w:lastRow="0" w:firstColumn="1" w:lastColumn="0" w:noHBand="0" w:noVBand="1"/>
      </w:tblPr>
      <w:tblGrid>
        <w:gridCol w:w="2942"/>
        <w:gridCol w:w="1427"/>
        <w:gridCol w:w="1339"/>
      </w:tblGrid>
      <w:tr w:rsidR="00AE064D" w:rsidRPr="00914F08" w14:paraId="2E1A617D" w14:textId="77777777" w:rsidTr="00705A92">
        <w:trPr>
          <w:trHeight w:val="295"/>
          <w:jc w:val="center"/>
        </w:trPr>
        <w:tc>
          <w:tcPr>
            <w:tcW w:w="5708" w:type="dxa"/>
            <w:gridSpan w:val="3"/>
            <w:tcBorders>
              <w:top w:val="nil"/>
              <w:left w:val="nil"/>
              <w:bottom w:val="single" w:sz="8" w:space="0" w:color="auto"/>
              <w:right w:val="nil"/>
            </w:tcBorders>
            <w:shd w:val="clear" w:color="auto" w:fill="auto"/>
            <w:noWrap/>
            <w:vAlign w:val="bottom"/>
            <w:hideMark/>
          </w:tcPr>
          <w:p w14:paraId="70B36AF0" w14:textId="4685CD90" w:rsidR="00AE064D" w:rsidRPr="00914F08" w:rsidRDefault="00AE064D" w:rsidP="00705A92">
            <w:pPr>
              <w:spacing w:after="0" w:line="240" w:lineRule="auto"/>
              <w:jc w:val="center"/>
              <w:rPr>
                <w:rFonts w:ascii="Arial" w:eastAsia="Times New Roman" w:hAnsi="Arial" w:cs="Arial"/>
                <w:b/>
                <w:bCs/>
                <w:color w:val="000000"/>
                <w:sz w:val="24"/>
                <w:szCs w:val="24"/>
              </w:rPr>
            </w:pPr>
            <w:r w:rsidRPr="00914F08">
              <w:rPr>
                <w:rFonts w:ascii="Arial" w:eastAsia="Times New Roman" w:hAnsi="Arial" w:cs="Arial"/>
                <w:b/>
                <w:bCs/>
                <w:color w:val="000000"/>
                <w:sz w:val="24"/>
                <w:szCs w:val="24"/>
              </w:rPr>
              <w:t>Tabla 2</w:t>
            </w:r>
            <w:r w:rsidR="00BE0C76" w:rsidRPr="00914F08">
              <w:rPr>
                <w:rFonts w:ascii="Arial" w:eastAsia="Times New Roman" w:hAnsi="Arial" w:cs="Arial"/>
                <w:b/>
                <w:bCs/>
                <w:color w:val="000000"/>
                <w:sz w:val="24"/>
                <w:szCs w:val="24"/>
              </w:rPr>
              <w:t>:</w:t>
            </w:r>
            <w:r w:rsidRPr="00914F08">
              <w:rPr>
                <w:rFonts w:ascii="Arial" w:eastAsia="Times New Roman" w:hAnsi="Arial" w:cs="Arial"/>
                <w:b/>
                <w:bCs/>
                <w:color w:val="000000"/>
                <w:sz w:val="24"/>
                <w:szCs w:val="24"/>
              </w:rPr>
              <w:t xml:space="preserve"> </w:t>
            </w:r>
            <w:r w:rsidRPr="00914F08">
              <w:rPr>
                <w:rFonts w:ascii="Arial" w:eastAsia="Times New Roman" w:hAnsi="Arial" w:cs="Arial"/>
                <w:color w:val="000000"/>
                <w:sz w:val="24"/>
                <w:szCs w:val="24"/>
              </w:rPr>
              <w:t>Frecuencia de consumo de sustancias psicoestimulantes menores</w:t>
            </w:r>
          </w:p>
        </w:tc>
      </w:tr>
      <w:tr w:rsidR="00AE064D" w:rsidRPr="00914F08" w14:paraId="66DC46A0" w14:textId="77777777" w:rsidTr="00705A92">
        <w:trPr>
          <w:trHeight w:val="295"/>
          <w:jc w:val="center"/>
        </w:trPr>
        <w:tc>
          <w:tcPr>
            <w:tcW w:w="2942" w:type="dxa"/>
            <w:tcBorders>
              <w:top w:val="nil"/>
              <w:left w:val="nil"/>
              <w:bottom w:val="single" w:sz="8" w:space="0" w:color="auto"/>
              <w:right w:val="nil"/>
            </w:tcBorders>
            <w:shd w:val="clear" w:color="auto" w:fill="auto"/>
            <w:noWrap/>
            <w:vAlign w:val="bottom"/>
            <w:hideMark/>
          </w:tcPr>
          <w:p w14:paraId="451ACC41"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Tipo</w:t>
            </w:r>
          </w:p>
        </w:tc>
        <w:tc>
          <w:tcPr>
            <w:tcW w:w="1427" w:type="dxa"/>
            <w:tcBorders>
              <w:top w:val="nil"/>
              <w:left w:val="nil"/>
              <w:bottom w:val="single" w:sz="8" w:space="0" w:color="auto"/>
              <w:right w:val="nil"/>
            </w:tcBorders>
            <w:shd w:val="clear" w:color="auto" w:fill="auto"/>
            <w:noWrap/>
            <w:vAlign w:val="bottom"/>
            <w:hideMark/>
          </w:tcPr>
          <w:p w14:paraId="301ABD45"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proofErr w:type="spellStart"/>
            <w:r w:rsidRPr="00914F08">
              <w:rPr>
                <w:rFonts w:ascii="Arial" w:eastAsia="Times New Roman" w:hAnsi="Arial" w:cs="Arial"/>
                <w:b/>
                <w:bCs/>
                <w:color w:val="000000"/>
                <w:sz w:val="24"/>
                <w:szCs w:val="24"/>
                <w:lang w:val="en-US"/>
              </w:rPr>
              <w:t>Cantidad</w:t>
            </w:r>
            <w:proofErr w:type="spellEnd"/>
            <w:r w:rsidRPr="00914F08">
              <w:rPr>
                <w:rFonts w:ascii="Arial" w:eastAsia="Times New Roman" w:hAnsi="Arial" w:cs="Arial"/>
                <w:b/>
                <w:bCs/>
                <w:color w:val="000000"/>
                <w:sz w:val="24"/>
                <w:szCs w:val="24"/>
                <w:lang w:val="en-US"/>
              </w:rPr>
              <w:t xml:space="preserve"> </w:t>
            </w:r>
            <w:r w:rsidRPr="00914F08">
              <w:rPr>
                <w:rFonts w:ascii="Cambria Math" w:eastAsia="Times New Roman" w:hAnsi="Cambria Math" w:cs="Cambria Math"/>
                <w:b/>
                <w:bCs/>
                <w:color w:val="000000"/>
                <w:sz w:val="24"/>
                <w:szCs w:val="24"/>
                <w:lang w:val="en-US"/>
              </w:rPr>
              <w:t>₁</w:t>
            </w:r>
          </w:p>
        </w:tc>
        <w:tc>
          <w:tcPr>
            <w:tcW w:w="1339" w:type="dxa"/>
            <w:tcBorders>
              <w:top w:val="nil"/>
              <w:left w:val="nil"/>
              <w:bottom w:val="single" w:sz="8" w:space="0" w:color="auto"/>
              <w:right w:val="nil"/>
            </w:tcBorders>
            <w:shd w:val="clear" w:color="auto" w:fill="auto"/>
            <w:noWrap/>
            <w:vAlign w:val="bottom"/>
            <w:hideMark/>
          </w:tcPr>
          <w:p w14:paraId="0CDBC9E0"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F(% )</w:t>
            </w:r>
          </w:p>
        </w:tc>
      </w:tr>
      <w:tr w:rsidR="00AE064D" w:rsidRPr="00914F08" w14:paraId="371F22CF" w14:textId="77777777" w:rsidTr="00705A92">
        <w:trPr>
          <w:trHeight w:val="280"/>
          <w:jc w:val="center"/>
        </w:trPr>
        <w:tc>
          <w:tcPr>
            <w:tcW w:w="2942" w:type="dxa"/>
            <w:tcBorders>
              <w:top w:val="nil"/>
              <w:left w:val="nil"/>
              <w:bottom w:val="nil"/>
              <w:right w:val="nil"/>
            </w:tcBorders>
            <w:shd w:val="clear" w:color="auto" w:fill="auto"/>
            <w:noWrap/>
            <w:vAlign w:val="bottom"/>
            <w:hideMark/>
          </w:tcPr>
          <w:p w14:paraId="2B8E676E"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proofErr w:type="spellStart"/>
            <w:r w:rsidRPr="00914F08">
              <w:rPr>
                <w:rFonts w:ascii="Arial" w:eastAsia="Times New Roman" w:hAnsi="Arial" w:cs="Arial"/>
                <w:b/>
                <w:bCs/>
                <w:color w:val="000000"/>
                <w:sz w:val="24"/>
                <w:szCs w:val="24"/>
                <w:lang w:val="en-US"/>
              </w:rPr>
              <w:t>Bebidas</w:t>
            </w:r>
            <w:proofErr w:type="spellEnd"/>
            <w:r w:rsidRPr="00914F08">
              <w:rPr>
                <w:rFonts w:ascii="Arial" w:eastAsia="Times New Roman" w:hAnsi="Arial" w:cs="Arial"/>
                <w:b/>
                <w:bCs/>
                <w:color w:val="000000"/>
                <w:sz w:val="24"/>
                <w:szCs w:val="24"/>
                <w:lang w:val="en-US"/>
              </w:rPr>
              <w:t xml:space="preserve"> de café </w:t>
            </w:r>
          </w:p>
        </w:tc>
        <w:tc>
          <w:tcPr>
            <w:tcW w:w="1427" w:type="dxa"/>
            <w:tcBorders>
              <w:top w:val="nil"/>
              <w:left w:val="nil"/>
              <w:bottom w:val="nil"/>
              <w:right w:val="nil"/>
            </w:tcBorders>
            <w:shd w:val="clear" w:color="auto" w:fill="auto"/>
            <w:noWrap/>
            <w:vAlign w:val="bottom"/>
            <w:hideMark/>
          </w:tcPr>
          <w:p w14:paraId="1122B1B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w:t>
            </w:r>
          </w:p>
        </w:tc>
        <w:tc>
          <w:tcPr>
            <w:tcW w:w="1339" w:type="dxa"/>
            <w:tcBorders>
              <w:top w:val="nil"/>
              <w:left w:val="nil"/>
              <w:bottom w:val="nil"/>
              <w:right w:val="nil"/>
            </w:tcBorders>
            <w:shd w:val="clear" w:color="auto" w:fill="auto"/>
            <w:noWrap/>
            <w:vAlign w:val="bottom"/>
            <w:hideMark/>
          </w:tcPr>
          <w:p w14:paraId="7B098423"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89(37,9)</w:t>
            </w:r>
          </w:p>
        </w:tc>
      </w:tr>
      <w:tr w:rsidR="00AE064D" w:rsidRPr="00914F08" w14:paraId="78148D37" w14:textId="77777777" w:rsidTr="00705A92">
        <w:trPr>
          <w:trHeight w:val="280"/>
          <w:jc w:val="center"/>
        </w:trPr>
        <w:tc>
          <w:tcPr>
            <w:tcW w:w="2942" w:type="dxa"/>
            <w:tcBorders>
              <w:top w:val="nil"/>
              <w:left w:val="nil"/>
              <w:bottom w:val="nil"/>
              <w:right w:val="nil"/>
            </w:tcBorders>
            <w:shd w:val="clear" w:color="auto" w:fill="auto"/>
            <w:noWrap/>
            <w:vAlign w:val="bottom"/>
            <w:hideMark/>
          </w:tcPr>
          <w:p w14:paraId="40872ED9"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w:t>
            </w:r>
            <w:proofErr w:type="spellStart"/>
            <w:r w:rsidRPr="00914F08">
              <w:rPr>
                <w:rFonts w:ascii="Arial" w:eastAsia="Times New Roman" w:hAnsi="Arial" w:cs="Arial"/>
                <w:color w:val="000000"/>
                <w:sz w:val="24"/>
                <w:szCs w:val="24"/>
                <w:lang w:val="en-US"/>
              </w:rPr>
              <w:t>tazas</w:t>
            </w:r>
            <w:proofErr w:type="spellEnd"/>
            <w:r w:rsidRPr="00914F08">
              <w:rPr>
                <w:rFonts w:ascii="Arial" w:eastAsia="Times New Roman" w:hAnsi="Arial" w:cs="Arial"/>
                <w:color w:val="000000"/>
                <w:sz w:val="24"/>
                <w:szCs w:val="24"/>
                <w:lang w:val="en-US"/>
              </w:rPr>
              <w:t xml:space="preserve"> 240ml)</w:t>
            </w:r>
          </w:p>
        </w:tc>
        <w:tc>
          <w:tcPr>
            <w:tcW w:w="1427" w:type="dxa"/>
            <w:tcBorders>
              <w:top w:val="nil"/>
              <w:left w:val="nil"/>
              <w:bottom w:val="nil"/>
              <w:right w:val="nil"/>
            </w:tcBorders>
            <w:shd w:val="clear" w:color="auto" w:fill="auto"/>
            <w:noWrap/>
            <w:vAlign w:val="bottom"/>
            <w:hideMark/>
          </w:tcPr>
          <w:p w14:paraId="1D1D17E5"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2 a 3</w:t>
            </w:r>
          </w:p>
        </w:tc>
        <w:tc>
          <w:tcPr>
            <w:tcW w:w="1339" w:type="dxa"/>
            <w:tcBorders>
              <w:top w:val="nil"/>
              <w:left w:val="nil"/>
              <w:bottom w:val="nil"/>
              <w:right w:val="nil"/>
            </w:tcBorders>
            <w:shd w:val="clear" w:color="auto" w:fill="auto"/>
            <w:noWrap/>
            <w:vAlign w:val="bottom"/>
            <w:hideMark/>
          </w:tcPr>
          <w:p w14:paraId="002A7699"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96(40,8)</w:t>
            </w:r>
          </w:p>
        </w:tc>
      </w:tr>
      <w:tr w:rsidR="00AE064D" w:rsidRPr="00914F08" w14:paraId="4163E895" w14:textId="77777777" w:rsidTr="00705A92">
        <w:trPr>
          <w:trHeight w:val="280"/>
          <w:jc w:val="center"/>
        </w:trPr>
        <w:tc>
          <w:tcPr>
            <w:tcW w:w="2942" w:type="dxa"/>
            <w:tcBorders>
              <w:top w:val="nil"/>
              <w:left w:val="nil"/>
              <w:bottom w:val="nil"/>
              <w:right w:val="nil"/>
            </w:tcBorders>
            <w:shd w:val="clear" w:color="auto" w:fill="auto"/>
            <w:noWrap/>
            <w:vAlign w:val="bottom"/>
            <w:hideMark/>
          </w:tcPr>
          <w:p w14:paraId="477A7BA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
        </w:tc>
        <w:tc>
          <w:tcPr>
            <w:tcW w:w="1427" w:type="dxa"/>
            <w:tcBorders>
              <w:top w:val="nil"/>
              <w:left w:val="nil"/>
              <w:bottom w:val="nil"/>
              <w:right w:val="nil"/>
            </w:tcBorders>
            <w:shd w:val="clear" w:color="auto" w:fill="auto"/>
            <w:noWrap/>
            <w:vAlign w:val="bottom"/>
            <w:hideMark/>
          </w:tcPr>
          <w:p w14:paraId="40E79E73"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4</w:t>
            </w:r>
          </w:p>
        </w:tc>
        <w:tc>
          <w:tcPr>
            <w:tcW w:w="1339" w:type="dxa"/>
            <w:tcBorders>
              <w:top w:val="nil"/>
              <w:left w:val="nil"/>
              <w:bottom w:val="nil"/>
              <w:right w:val="nil"/>
            </w:tcBorders>
            <w:shd w:val="clear" w:color="auto" w:fill="auto"/>
            <w:noWrap/>
            <w:vAlign w:val="bottom"/>
            <w:hideMark/>
          </w:tcPr>
          <w:p w14:paraId="10B66C42"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12(5,1)</w:t>
            </w:r>
          </w:p>
        </w:tc>
      </w:tr>
      <w:tr w:rsidR="00AE064D" w:rsidRPr="00914F08" w14:paraId="0294DA76" w14:textId="77777777" w:rsidTr="00705A92">
        <w:trPr>
          <w:trHeight w:val="280"/>
          <w:jc w:val="center"/>
        </w:trPr>
        <w:tc>
          <w:tcPr>
            <w:tcW w:w="2942" w:type="dxa"/>
            <w:tcBorders>
              <w:top w:val="nil"/>
              <w:left w:val="nil"/>
              <w:bottom w:val="nil"/>
              <w:right w:val="nil"/>
            </w:tcBorders>
            <w:shd w:val="clear" w:color="auto" w:fill="auto"/>
            <w:noWrap/>
            <w:vAlign w:val="bottom"/>
            <w:hideMark/>
          </w:tcPr>
          <w:p w14:paraId="30DE7658"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
        </w:tc>
        <w:tc>
          <w:tcPr>
            <w:tcW w:w="1427" w:type="dxa"/>
            <w:tcBorders>
              <w:top w:val="nil"/>
              <w:left w:val="nil"/>
              <w:bottom w:val="single" w:sz="4" w:space="0" w:color="auto"/>
              <w:right w:val="nil"/>
            </w:tcBorders>
            <w:shd w:val="clear" w:color="auto" w:fill="auto"/>
            <w:noWrap/>
            <w:vAlign w:val="bottom"/>
            <w:hideMark/>
          </w:tcPr>
          <w:p w14:paraId="616EDC1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≥5</w:t>
            </w:r>
          </w:p>
        </w:tc>
        <w:tc>
          <w:tcPr>
            <w:tcW w:w="1339" w:type="dxa"/>
            <w:tcBorders>
              <w:top w:val="nil"/>
              <w:left w:val="nil"/>
              <w:bottom w:val="single" w:sz="4" w:space="0" w:color="auto"/>
              <w:right w:val="nil"/>
            </w:tcBorders>
            <w:shd w:val="clear" w:color="auto" w:fill="auto"/>
            <w:noWrap/>
            <w:vAlign w:val="bottom"/>
            <w:hideMark/>
          </w:tcPr>
          <w:p w14:paraId="74FF560B"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4(1,7)</w:t>
            </w:r>
          </w:p>
        </w:tc>
      </w:tr>
      <w:tr w:rsidR="00AE064D" w:rsidRPr="00914F08" w14:paraId="34A48BDE" w14:textId="77777777" w:rsidTr="00705A92">
        <w:trPr>
          <w:trHeight w:val="280"/>
          <w:jc w:val="center"/>
        </w:trPr>
        <w:tc>
          <w:tcPr>
            <w:tcW w:w="2942" w:type="dxa"/>
            <w:tcBorders>
              <w:top w:val="nil"/>
              <w:left w:val="nil"/>
              <w:bottom w:val="single" w:sz="4" w:space="0" w:color="auto"/>
              <w:right w:val="nil"/>
            </w:tcBorders>
            <w:shd w:val="clear" w:color="auto" w:fill="auto"/>
            <w:noWrap/>
            <w:vAlign w:val="bottom"/>
            <w:hideMark/>
          </w:tcPr>
          <w:p w14:paraId="238D9B17"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427" w:type="dxa"/>
            <w:tcBorders>
              <w:top w:val="nil"/>
              <w:left w:val="nil"/>
              <w:bottom w:val="nil"/>
              <w:right w:val="nil"/>
            </w:tcBorders>
            <w:shd w:val="clear" w:color="auto" w:fill="auto"/>
            <w:noWrap/>
            <w:vAlign w:val="bottom"/>
            <w:hideMark/>
          </w:tcPr>
          <w:p w14:paraId="0A837A02"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
        </w:tc>
        <w:tc>
          <w:tcPr>
            <w:tcW w:w="1339" w:type="dxa"/>
            <w:tcBorders>
              <w:top w:val="nil"/>
              <w:left w:val="nil"/>
              <w:bottom w:val="nil"/>
              <w:right w:val="nil"/>
            </w:tcBorders>
            <w:shd w:val="clear" w:color="auto" w:fill="auto"/>
            <w:noWrap/>
            <w:vAlign w:val="bottom"/>
            <w:hideMark/>
          </w:tcPr>
          <w:p w14:paraId="70EC4F21"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201(85,5)</w:t>
            </w:r>
          </w:p>
        </w:tc>
      </w:tr>
      <w:tr w:rsidR="00AE064D" w:rsidRPr="00914F08" w14:paraId="72C5D82E" w14:textId="77777777" w:rsidTr="00705A92">
        <w:trPr>
          <w:trHeight w:val="280"/>
          <w:jc w:val="center"/>
        </w:trPr>
        <w:tc>
          <w:tcPr>
            <w:tcW w:w="2942" w:type="dxa"/>
            <w:tcBorders>
              <w:top w:val="nil"/>
              <w:left w:val="nil"/>
              <w:bottom w:val="nil"/>
              <w:right w:val="nil"/>
            </w:tcBorders>
            <w:shd w:val="clear" w:color="auto" w:fill="auto"/>
            <w:noWrap/>
            <w:vAlign w:val="bottom"/>
            <w:hideMark/>
          </w:tcPr>
          <w:p w14:paraId="27968643"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proofErr w:type="spellStart"/>
            <w:r w:rsidRPr="00914F08">
              <w:rPr>
                <w:rFonts w:ascii="Arial" w:eastAsia="Times New Roman" w:hAnsi="Arial" w:cs="Arial"/>
                <w:b/>
                <w:bCs/>
                <w:color w:val="000000"/>
                <w:sz w:val="24"/>
                <w:szCs w:val="24"/>
                <w:lang w:val="en-US"/>
              </w:rPr>
              <w:t>Bebidas</w:t>
            </w:r>
            <w:proofErr w:type="spellEnd"/>
            <w:r w:rsidRPr="00914F08">
              <w:rPr>
                <w:rFonts w:ascii="Arial" w:eastAsia="Times New Roman" w:hAnsi="Arial" w:cs="Arial"/>
                <w:b/>
                <w:bCs/>
                <w:color w:val="000000"/>
                <w:sz w:val="24"/>
                <w:szCs w:val="24"/>
                <w:lang w:val="en-US"/>
              </w:rPr>
              <w:t xml:space="preserve"> </w:t>
            </w:r>
            <w:proofErr w:type="spellStart"/>
            <w:r w:rsidRPr="00914F08">
              <w:rPr>
                <w:rFonts w:ascii="Arial" w:eastAsia="Times New Roman" w:hAnsi="Arial" w:cs="Arial"/>
                <w:b/>
                <w:bCs/>
                <w:color w:val="000000"/>
                <w:sz w:val="24"/>
                <w:szCs w:val="24"/>
                <w:lang w:val="en-US"/>
              </w:rPr>
              <w:t>energizantes</w:t>
            </w:r>
            <w:proofErr w:type="spellEnd"/>
          </w:p>
        </w:tc>
        <w:tc>
          <w:tcPr>
            <w:tcW w:w="1427" w:type="dxa"/>
            <w:tcBorders>
              <w:top w:val="single" w:sz="4" w:space="0" w:color="auto"/>
              <w:left w:val="nil"/>
              <w:bottom w:val="nil"/>
              <w:right w:val="nil"/>
            </w:tcBorders>
            <w:shd w:val="clear" w:color="auto" w:fill="auto"/>
            <w:noWrap/>
            <w:vAlign w:val="bottom"/>
            <w:hideMark/>
          </w:tcPr>
          <w:p w14:paraId="54A97E2C"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w:t>
            </w:r>
          </w:p>
        </w:tc>
        <w:tc>
          <w:tcPr>
            <w:tcW w:w="1339" w:type="dxa"/>
            <w:tcBorders>
              <w:top w:val="single" w:sz="4" w:space="0" w:color="auto"/>
              <w:left w:val="nil"/>
              <w:bottom w:val="nil"/>
              <w:right w:val="nil"/>
            </w:tcBorders>
            <w:shd w:val="clear" w:color="auto" w:fill="auto"/>
            <w:noWrap/>
            <w:vAlign w:val="bottom"/>
            <w:hideMark/>
          </w:tcPr>
          <w:p w14:paraId="055A42EB"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143(60,9)</w:t>
            </w:r>
          </w:p>
        </w:tc>
      </w:tr>
      <w:tr w:rsidR="00AE064D" w:rsidRPr="00914F08" w14:paraId="60AFAF63" w14:textId="77777777" w:rsidTr="00705A92">
        <w:trPr>
          <w:trHeight w:val="280"/>
          <w:jc w:val="center"/>
        </w:trPr>
        <w:tc>
          <w:tcPr>
            <w:tcW w:w="2942" w:type="dxa"/>
            <w:tcBorders>
              <w:top w:val="nil"/>
              <w:left w:val="nil"/>
              <w:bottom w:val="nil"/>
              <w:right w:val="nil"/>
            </w:tcBorders>
            <w:shd w:val="clear" w:color="auto" w:fill="auto"/>
            <w:noWrap/>
            <w:vAlign w:val="center"/>
            <w:hideMark/>
          </w:tcPr>
          <w:p w14:paraId="2B03605D"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lastRenderedPageBreak/>
              <w:t>(</w:t>
            </w:r>
            <w:proofErr w:type="spellStart"/>
            <w:r w:rsidRPr="00914F08">
              <w:rPr>
                <w:rFonts w:ascii="Arial" w:eastAsia="Times New Roman" w:hAnsi="Arial" w:cs="Arial"/>
                <w:color w:val="000000"/>
                <w:sz w:val="24"/>
                <w:szCs w:val="24"/>
                <w:lang w:val="en-US"/>
              </w:rPr>
              <w:t>botellas</w:t>
            </w:r>
            <w:proofErr w:type="spellEnd"/>
            <w:r w:rsidRPr="00914F08">
              <w:rPr>
                <w:rFonts w:ascii="Arial" w:eastAsia="Times New Roman" w:hAnsi="Arial" w:cs="Arial"/>
                <w:color w:val="000000"/>
                <w:sz w:val="24"/>
                <w:szCs w:val="24"/>
                <w:lang w:val="en-US"/>
              </w:rPr>
              <w:t xml:space="preserve"> /</w:t>
            </w:r>
            <w:proofErr w:type="spellStart"/>
            <w:r w:rsidRPr="00914F08">
              <w:rPr>
                <w:rFonts w:ascii="Arial" w:eastAsia="Times New Roman" w:hAnsi="Arial" w:cs="Arial"/>
                <w:color w:val="000000"/>
                <w:sz w:val="24"/>
                <w:szCs w:val="24"/>
                <w:lang w:val="en-US"/>
              </w:rPr>
              <w:t>latas</w:t>
            </w:r>
            <w:proofErr w:type="spellEnd"/>
            <w:r w:rsidRPr="00914F08">
              <w:rPr>
                <w:rFonts w:ascii="Arial" w:eastAsia="Times New Roman" w:hAnsi="Arial" w:cs="Arial"/>
                <w:color w:val="000000"/>
                <w:sz w:val="24"/>
                <w:szCs w:val="24"/>
                <w:lang w:val="en-US"/>
              </w:rPr>
              <w:t>))</w:t>
            </w:r>
          </w:p>
        </w:tc>
        <w:tc>
          <w:tcPr>
            <w:tcW w:w="1427" w:type="dxa"/>
            <w:tcBorders>
              <w:top w:val="nil"/>
              <w:left w:val="nil"/>
              <w:bottom w:val="nil"/>
              <w:right w:val="nil"/>
            </w:tcBorders>
            <w:shd w:val="clear" w:color="auto" w:fill="auto"/>
            <w:noWrap/>
            <w:vAlign w:val="bottom"/>
            <w:hideMark/>
          </w:tcPr>
          <w:p w14:paraId="3B9488C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2 a 3</w:t>
            </w:r>
          </w:p>
        </w:tc>
        <w:tc>
          <w:tcPr>
            <w:tcW w:w="1339" w:type="dxa"/>
            <w:tcBorders>
              <w:top w:val="nil"/>
              <w:left w:val="nil"/>
              <w:bottom w:val="nil"/>
              <w:right w:val="nil"/>
            </w:tcBorders>
            <w:shd w:val="clear" w:color="auto" w:fill="auto"/>
            <w:noWrap/>
            <w:vAlign w:val="bottom"/>
            <w:hideMark/>
          </w:tcPr>
          <w:p w14:paraId="4C512971"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39(16,5)</w:t>
            </w:r>
          </w:p>
        </w:tc>
      </w:tr>
      <w:tr w:rsidR="00AE064D" w:rsidRPr="00914F08" w14:paraId="51C8D538" w14:textId="77777777" w:rsidTr="00705A92">
        <w:trPr>
          <w:trHeight w:val="280"/>
          <w:jc w:val="center"/>
        </w:trPr>
        <w:tc>
          <w:tcPr>
            <w:tcW w:w="2942" w:type="dxa"/>
            <w:tcBorders>
              <w:top w:val="nil"/>
              <w:left w:val="nil"/>
              <w:bottom w:val="nil"/>
              <w:right w:val="nil"/>
            </w:tcBorders>
            <w:shd w:val="clear" w:color="auto" w:fill="auto"/>
            <w:noWrap/>
            <w:vAlign w:val="center"/>
            <w:hideMark/>
          </w:tcPr>
          <w:p w14:paraId="4EE852EA"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p>
        </w:tc>
        <w:tc>
          <w:tcPr>
            <w:tcW w:w="1427" w:type="dxa"/>
            <w:tcBorders>
              <w:top w:val="nil"/>
              <w:left w:val="nil"/>
              <w:bottom w:val="single" w:sz="4" w:space="0" w:color="auto"/>
              <w:right w:val="nil"/>
            </w:tcBorders>
            <w:shd w:val="clear" w:color="auto" w:fill="auto"/>
            <w:noWrap/>
            <w:vAlign w:val="bottom"/>
            <w:hideMark/>
          </w:tcPr>
          <w:p w14:paraId="41C1AEB4"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≥4</w:t>
            </w:r>
          </w:p>
        </w:tc>
        <w:tc>
          <w:tcPr>
            <w:tcW w:w="1339" w:type="dxa"/>
            <w:tcBorders>
              <w:top w:val="nil"/>
              <w:left w:val="nil"/>
              <w:bottom w:val="single" w:sz="4" w:space="0" w:color="auto"/>
              <w:right w:val="nil"/>
            </w:tcBorders>
            <w:shd w:val="clear" w:color="auto" w:fill="auto"/>
            <w:noWrap/>
            <w:vAlign w:val="bottom"/>
            <w:hideMark/>
          </w:tcPr>
          <w:p w14:paraId="3E58051C"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4(1,7)</w:t>
            </w:r>
          </w:p>
        </w:tc>
      </w:tr>
      <w:tr w:rsidR="00AE064D" w:rsidRPr="00914F08" w14:paraId="6EC574C5" w14:textId="77777777" w:rsidTr="00705A92">
        <w:trPr>
          <w:trHeight w:val="280"/>
          <w:jc w:val="center"/>
        </w:trPr>
        <w:tc>
          <w:tcPr>
            <w:tcW w:w="2942" w:type="dxa"/>
            <w:tcBorders>
              <w:top w:val="nil"/>
              <w:left w:val="nil"/>
              <w:bottom w:val="single" w:sz="4" w:space="0" w:color="auto"/>
              <w:right w:val="nil"/>
            </w:tcBorders>
            <w:shd w:val="clear" w:color="auto" w:fill="auto"/>
            <w:noWrap/>
            <w:vAlign w:val="center"/>
            <w:hideMark/>
          </w:tcPr>
          <w:p w14:paraId="20A89B37"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427" w:type="dxa"/>
            <w:tcBorders>
              <w:top w:val="nil"/>
              <w:left w:val="nil"/>
              <w:bottom w:val="single" w:sz="4" w:space="0" w:color="auto"/>
              <w:right w:val="nil"/>
            </w:tcBorders>
            <w:shd w:val="clear" w:color="auto" w:fill="auto"/>
            <w:noWrap/>
            <w:vAlign w:val="bottom"/>
            <w:hideMark/>
          </w:tcPr>
          <w:p w14:paraId="7F574699"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339" w:type="dxa"/>
            <w:tcBorders>
              <w:top w:val="nil"/>
              <w:left w:val="nil"/>
              <w:bottom w:val="single" w:sz="4" w:space="0" w:color="auto"/>
              <w:right w:val="nil"/>
            </w:tcBorders>
            <w:shd w:val="clear" w:color="000000" w:fill="FFFFFF"/>
            <w:noWrap/>
            <w:vAlign w:val="bottom"/>
            <w:hideMark/>
          </w:tcPr>
          <w:p w14:paraId="523C4F92"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186(79,1)</w:t>
            </w:r>
          </w:p>
        </w:tc>
      </w:tr>
      <w:tr w:rsidR="00AE064D" w:rsidRPr="00914F08" w14:paraId="01B2C41F" w14:textId="77777777" w:rsidTr="00705A92">
        <w:trPr>
          <w:trHeight w:val="280"/>
          <w:jc w:val="center"/>
        </w:trPr>
        <w:tc>
          <w:tcPr>
            <w:tcW w:w="2942" w:type="dxa"/>
            <w:tcBorders>
              <w:top w:val="nil"/>
              <w:left w:val="nil"/>
              <w:bottom w:val="nil"/>
              <w:right w:val="nil"/>
            </w:tcBorders>
            <w:shd w:val="clear" w:color="auto" w:fill="auto"/>
            <w:noWrap/>
            <w:vAlign w:val="bottom"/>
            <w:hideMark/>
          </w:tcPr>
          <w:p w14:paraId="281D9684"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proofErr w:type="spellStart"/>
            <w:r w:rsidRPr="00914F08">
              <w:rPr>
                <w:rFonts w:ascii="Arial" w:eastAsia="Times New Roman" w:hAnsi="Arial" w:cs="Arial"/>
                <w:b/>
                <w:bCs/>
                <w:color w:val="000000"/>
                <w:sz w:val="24"/>
                <w:szCs w:val="24"/>
                <w:lang w:val="en-US"/>
              </w:rPr>
              <w:t>Fármacos</w:t>
            </w:r>
            <w:proofErr w:type="spellEnd"/>
          </w:p>
        </w:tc>
        <w:tc>
          <w:tcPr>
            <w:tcW w:w="1427" w:type="dxa"/>
            <w:tcBorders>
              <w:top w:val="nil"/>
              <w:left w:val="nil"/>
              <w:bottom w:val="nil"/>
              <w:right w:val="nil"/>
            </w:tcBorders>
            <w:shd w:val="clear" w:color="auto" w:fill="auto"/>
            <w:noWrap/>
            <w:vAlign w:val="bottom"/>
            <w:hideMark/>
          </w:tcPr>
          <w:p w14:paraId="1223FDA1"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1</w:t>
            </w:r>
          </w:p>
        </w:tc>
        <w:tc>
          <w:tcPr>
            <w:tcW w:w="1339" w:type="dxa"/>
            <w:tcBorders>
              <w:top w:val="nil"/>
              <w:left w:val="nil"/>
              <w:bottom w:val="nil"/>
              <w:right w:val="nil"/>
            </w:tcBorders>
            <w:shd w:val="clear" w:color="auto" w:fill="auto"/>
            <w:noWrap/>
            <w:vAlign w:val="bottom"/>
            <w:hideMark/>
          </w:tcPr>
          <w:p w14:paraId="09C5BB65"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27(11,5)</w:t>
            </w:r>
          </w:p>
        </w:tc>
      </w:tr>
      <w:tr w:rsidR="00AE064D" w:rsidRPr="00914F08" w14:paraId="5A2244EF" w14:textId="77777777" w:rsidTr="00705A92">
        <w:trPr>
          <w:trHeight w:val="295"/>
          <w:jc w:val="center"/>
        </w:trPr>
        <w:tc>
          <w:tcPr>
            <w:tcW w:w="2942" w:type="dxa"/>
            <w:tcBorders>
              <w:top w:val="nil"/>
              <w:left w:val="nil"/>
              <w:bottom w:val="nil"/>
              <w:right w:val="nil"/>
            </w:tcBorders>
            <w:shd w:val="clear" w:color="auto" w:fill="auto"/>
            <w:noWrap/>
            <w:vAlign w:val="center"/>
            <w:hideMark/>
          </w:tcPr>
          <w:p w14:paraId="421A961B"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w:t>
            </w:r>
            <w:proofErr w:type="spellStart"/>
            <w:r w:rsidRPr="00914F08">
              <w:rPr>
                <w:rFonts w:ascii="Arial" w:eastAsia="Times New Roman" w:hAnsi="Arial" w:cs="Arial"/>
                <w:color w:val="000000"/>
                <w:sz w:val="24"/>
                <w:szCs w:val="24"/>
                <w:lang w:val="en-US"/>
              </w:rPr>
              <w:t>tabletas</w:t>
            </w:r>
            <w:proofErr w:type="spellEnd"/>
            <w:r w:rsidRPr="00914F08">
              <w:rPr>
                <w:rFonts w:ascii="Arial" w:eastAsia="Times New Roman" w:hAnsi="Arial" w:cs="Arial"/>
                <w:color w:val="000000"/>
                <w:sz w:val="24"/>
                <w:szCs w:val="24"/>
                <w:lang w:val="en-US"/>
              </w:rPr>
              <w:t>)</w:t>
            </w:r>
          </w:p>
        </w:tc>
        <w:tc>
          <w:tcPr>
            <w:tcW w:w="1427" w:type="dxa"/>
            <w:tcBorders>
              <w:top w:val="nil"/>
              <w:left w:val="nil"/>
              <w:bottom w:val="single" w:sz="8" w:space="0" w:color="auto"/>
              <w:right w:val="nil"/>
            </w:tcBorders>
            <w:shd w:val="clear" w:color="auto" w:fill="auto"/>
            <w:noWrap/>
            <w:vAlign w:val="bottom"/>
            <w:hideMark/>
          </w:tcPr>
          <w:p w14:paraId="10FD502C"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2 a 3</w:t>
            </w:r>
          </w:p>
        </w:tc>
        <w:tc>
          <w:tcPr>
            <w:tcW w:w="1339" w:type="dxa"/>
            <w:tcBorders>
              <w:top w:val="nil"/>
              <w:left w:val="nil"/>
              <w:bottom w:val="single" w:sz="8" w:space="0" w:color="auto"/>
              <w:right w:val="nil"/>
            </w:tcBorders>
            <w:shd w:val="clear" w:color="auto" w:fill="auto"/>
            <w:noWrap/>
            <w:vAlign w:val="bottom"/>
            <w:hideMark/>
          </w:tcPr>
          <w:p w14:paraId="60F9619A"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3(1,3)</w:t>
            </w:r>
          </w:p>
        </w:tc>
      </w:tr>
      <w:tr w:rsidR="00AE064D" w:rsidRPr="00914F08" w14:paraId="145B7752" w14:textId="77777777" w:rsidTr="00705A92">
        <w:trPr>
          <w:trHeight w:val="295"/>
          <w:jc w:val="center"/>
        </w:trPr>
        <w:tc>
          <w:tcPr>
            <w:tcW w:w="2942" w:type="dxa"/>
            <w:tcBorders>
              <w:top w:val="nil"/>
              <w:left w:val="nil"/>
              <w:bottom w:val="single" w:sz="8" w:space="0" w:color="auto"/>
              <w:right w:val="nil"/>
            </w:tcBorders>
            <w:shd w:val="clear" w:color="auto" w:fill="auto"/>
            <w:noWrap/>
            <w:vAlign w:val="center"/>
            <w:hideMark/>
          </w:tcPr>
          <w:p w14:paraId="6FBB658E"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427" w:type="dxa"/>
            <w:tcBorders>
              <w:top w:val="nil"/>
              <w:left w:val="nil"/>
              <w:bottom w:val="single" w:sz="8" w:space="0" w:color="auto"/>
              <w:right w:val="nil"/>
            </w:tcBorders>
            <w:shd w:val="clear" w:color="auto" w:fill="auto"/>
            <w:noWrap/>
            <w:vAlign w:val="bottom"/>
            <w:hideMark/>
          </w:tcPr>
          <w:p w14:paraId="0333E589" w14:textId="77777777" w:rsidR="00AE064D" w:rsidRPr="00914F08" w:rsidRDefault="00AE064D" w:rsidP="00705A92">
            <w:pPr>
              <w:spacing w:after="0" w:line="240" w:lineRule="auto"/>
              <w:jc w:val="both"/>
              <w:rPr>
                <w:rFonts w:ascii="Arial" w:eastAsia="Times New Roman" w:hAnsi="Arial" w:cs="Arial"/>
                <w:color w:val="000000"/>
                <w:sz w:val="24"/>
                <w:szCs w:val="24"/>
                <w:lang w:val="en-US"/>
              </w:rPr>
            </w:pPr>
            <w:r w:rsidRPr="00914F08">
              <w:rPr>
                <w:rFonts w:ascii="Arial" w:eastAsia="Times New Roman" w:hAnsi="Arial" w:cs="Arial"/>
                <w:color w:val="000000"/>
                <w:sz w:val="24"/>
                <w:szCs w:val="24"/>
                <w:lang w:val="en-US"/>
              </w:rPr>
              <w:t> </w:t>
            </w:r>
          </w:p>
        </w:tc>
        <w:tc>
          <w:tcPr>
            <w:tcW w:w="1339" w:type="dxa"/>
            <w:tcBorders>
              <w:top w:val="nil"/>
              <w:left w:val="nil"/>
              <w:bottom w:val="single" w:sz="8" w:space="0" w:color="auto"/>
              <w:right w:val="nil"/>
            </w:tcBorders>
            <w:shd w:val="clear" w:color="000000" w:fill="FFFFFF"/>
            <w:noWrap/>
            <w:vAlign w:val="bottom"/>
            <w:hideMark/>
          </w:tcPr>
          <w:p w14:paraId="78F97070" w14:textId="77777777" w:rsidR="00AE064D" w:rsidRPr="00914F08" w:rsidRDefault="00AE064D" w:rsidP="00705A92">
            <w:pPr>
              <w:spacing w:after="0" w:line="240" w:lineRule="auto"/>
              <w:jc w:val="both"/>
              <w:rPr>
                <w:rFonts w:ascii="Arial" w:eastAsia="Times New Roman" w:hAnsi="Arial" w:cs="Arial"/>
                <w:b/>
                <w:bCs/>
                <w:color w:val="000000"/>
                <w:sz w:val="24"/>
                <w:szCs w:val="24"/>
                <w:lang w:val="en-US"/>
              </w:rPr>
            </w:pPr>
            <w:r w:rsidRPr="00914F08">
              <w:rPr>
                <w:rFonts w:ascii="Arial" w:eastAsia="Times New Roman" w:hAnsi="Arial" w:cs="Arial"/>
                <w:b/>
                <w:bCs/>
                <w:color w:val="000000"/>
                <w:sz w:val="24"/>
                <w:szCs w:val="24"/>
                <w:lang w:val="en-US"/>
              </w:rPr>
              <w:t>30(12,8)</w:t>
            </w:r>
          </w:p>
        </w:tc>
      </w:tr>
      <w:tr w:rsidR="00AE064D" w:rsidRPr="00914F08" w14:paraId="14002E8B" w14:textId="77777777" w:rsidTr="00705A92">
        <w:trPr>
          <w:trHeight w:val="280"/>
          <w:jc w:val="center"/>
        </w:trPr>
        <w:tc>
          <w:tcPr>
            <w:tcW w:w="5708" w:type="dxa"/>
            <w:gridSpan w:val="3"/>
            <w:tcBorders>
              <w:top w:val="nil"/>
              <w:left w:val="nil"/>
              <w:bottom w:val="nil"/>
              <w:right w:val="nil"/>
            </w:tcBorders>
            <w:shd w:val="clear" w:color="auto" w:fill="auto"/>
            <w:noWrap/>
            <w:vAlign w:val="center"/>
            <w:hideMark/>
          </w:tcPr>
          <w:p w14:paraId="7AECD0A4" w14:textId="77777777" w:rsidR="00AE064D" w:rsidRPr="00914F08" w:rsidRDefault="00AE064D" w:rsidP="00705A92">
            <w:pPr>
              <w:spacing w:after="0" w:line="240" w:lineRule="auto"/>
              <w:jc w:val="both"/>
              <w:rPr>
                <w:rFonts w:ascii="Arial" w:eastAsia="Times New Roman" w:hAnsi="Arial" w:cs="Arial"/>
                <w:b/>
                <w:color w:val="000000"/>
                <w:sz w:val="24"/>
                <w:szCs w:val="24"/>
              </w:rPr>
            </w:pPr>
            <w:r w:rsidRPr="00914F08">
              <w:rPr>
                <w:rFonts w:ascii="Arial" w:eastAsia="Times New Roman" w:hAnsi="Arial" w:cs="Arial"/>
                <w:b/>
                <w:color w:val="000000"/>
                <w:sz w:val="24"/>
                <w:szCs w:val="24"/>
                <w:vertAlign w:val="subscript"/>
              </w:rPr>
              <w:t>1</w:t>
            </w:r>
            <w:r w:rsidRPr="00914F08">
              <w:rPr>
                <w:rFonts w:ascii="Arial" w:eastAsia="Times New Roman" w:hAnsi="Arial" w:cs="Arial"/>
                <w:b/>
                <w:color w:val="000000"/>
                <w:sz w:val="24"/>
                <w:szCs w:val="24"/>
              </w:rPr>
              <w:t xml:space="preserve"> </w:t>
            </w:r>
            <w:r w:rsidRPr="00914F08">
              <w:rPr>
                <w:rFonts w:ascii="Arial" w:eastAsia="Times New Roman" w:hAnsi="Arial" w:cs="Arial"/>
                <w:bCs/>
                <w:color w:val="000000"/>
                <w:sz w:val="24"/>
                <w:szCs w:val="24"/>
              </w:rPr>
              <w:t>para el café se presenta la cantidad de consumo diario, y para bebidas energizantes y fármacos a nivel semanal.</w:t>
            </w:r>
          </w:p>
          <w:p w14:paraId="6A0D1C36" w14:textId="77777777" w:rsidR="00AE064D" w:rsidRPr="00914F08" w:rsidRDefault="00AE064D" w:rsidP="00705A92">
            <w:pPr>
              <w:spacing w:after="0" w:line="240" w:lineRule="auto"/>
              <w:jc w:val="both"/>
              <w:rPr>
                <w:rFonts w:ascii="Arial" w:eastAsia="Times New Roman" w:hAnsi="Arial" w:cs="Arial"/>
                <w:b/>
                <w:color w:val="000000"/>
                <w:sz w:val="24"/>
                <w:szCs w:val="24"/>
              </w:rPr>
            </w:pPr>
          </w:p>
        </w:tc>
      </w:tr>
      <w:tr w:rsidR="00AE064D" w:rsidRPr="00914F08" w14:paraId="48A63E59" w14:textId="77777777" w:rsidTr="00705A92">
        <w:trPr>
          <w:trHeight w:val="280"/>
          <w:jc w:val="center"/>
        </w:trPr>
        <w:tc>
          <w:tcPr>
            <w:tcW w:w="5708" w:type="dxa"/>
            <w:gridSpan w:val="3"/>
            <w:tcBorders>
              <w:top w:val="nil"/>
              <w:left w:val="nil"/>
              <w:bottom w:val="nil"/>
              <w:right w:val="nil"/>
            </w:tcBorders>
            <w:shd w:val="clear" w:color="auto" w:fill="auto"/>
            <w:noWrap/>
            <w:vAlign w:val="center"/>
          </w:tcPr>
          <w:p w14:paraId="660645B0" w14:textId="67876DCC" w:rsidR="00AE064D" w:rsidRPr="00914F08" w:rsidRDefault="00AE064D" w:rsidP="00705A92">
            <w:pPr>
              <w:tabs>
                <w:tab w:val="left" w:pos="1260"/>
              </w:tabs>
              <w:spacing w:after="0" w:line="240" w:lineRule="auto"/>
              <w:rPr>
                <w:rFonts w:ascii="Arial" w:eastAsia="Calibri" w:hAnsi="Arial" w:cs="Arial"/>
                <w:iCs/>
                <w:sz w:val="24"/>
                <w:szCs w:val="24"/>
              </w:rPr>
            </w:pPr>
            <w:r w:rsidRPr="00914F08">
              <w:rPr>
                <w:rFonts w:ascii="Arial" w:eastAsia="Calibri" w:hAnsi="Arial" w:cs="Arial"/>
                <w:b/>
                <w:iCs/>
                <w:sz w:val="24"/>
                <w:szCs w:val="24"/>
              </w:rPr>
              <w:t>Fuente:</w:t>
            </w:r>
            <w:r w:rsidRPr="00914F08">
              <w:rPr>
                <w:rFonts w:ascii="Arial" w:eastAsia="Calibri" w:hAnsi="Arial" w:cs="Arial"/>
                <w:iCs/>
                <w:sz w:val="24"/>
                <w:szCs w:val="24"/>
              </w:rPr>
              <w:t xml:space="preserve"> </w:t>
            </w:r>
            <w:r w:rsidR="00BE0C76" w:rsidRPr="00914F08">
              <w:rPr>
                <w:rFonts w:ascii="Arial" w:eastAsia="Calibri" w:hAnsi="Arial" w:cs="Arial"/>
                <w:iCs/>
                <w:sz w:val="24"/>
                <w:szCs w:val="24"/>
              </w:rPr>
              <w:t>Instrumentos aplicados</w:t>
            </w:r>
          </w:p>
          <w:p w14:paraId="19AC5DD0" w14:textId="3068EAF0" w:rsidR="00AE064D" w:rsidRPr="00914F08" w:rsidRDefault="00AE064D" w:rsidP="00705A92">
            <w:pPr>
              <w:tabs>
                <w:tab w:val="left" w:pos="1260"/>
              </w:tabs>
              <w:spacing w:after="0" w:line="240" w:lineRule="auto"/>
              <w:rPr>
                <w:rFonts w:ascii="Arial" w:eastAsia="Calibri" w:hAnsi="Arial" w:cs="Arial"/>
                <w:iCs/>
                <w:sz w:val="24"/>
                <w:szCs w:val="24"/>
              </w:rPr>
            </w:pPr>
            <w:r w:rsidRPr="00914F08">
              <w:rPr>
                <w:rFonts w:ascii="Arial" w:eastAsia="Calibri" w:hAnsi="Arial" w:cs="Arial"/>
                <w:b/>
                <w:iCs/>
                <w:sz w:val="24"/>
                <w:szCs w:val="24"/>
              </w:rPr>
              <w:t>Elaboración:</w:t>
            </w:r>
            <w:r w:rsidRPr="00914F08">
              <w:rPr>
                <w:rFonts w:ascii="Arial" w:eastAsia="Calibri" w:hAnsi="Arial" w:cs="Arial"/>
                <w:iCs/>
                <w:sz w:val="24"/>
                <w:szCs w:val="24"/>
              </w:rPr>
              <w:t xml:space="preserve"> </w:t>
            </w:r>
            <w:r w:rsidR="00BE0C76" w:rsidRPr="00914F08">
              <w:rPr>
                <w:rFonts w:ascii="Arial" w:eastAsia="Calibri" w:hAnsi="Arial" w:cs="Arial"/>
                <w:iCs/>
                <w:sz w:val="24"/>
                <w:szCs w:val="24"/>
              </w:rPr>
              <w:t>elaboración propia</w:t>
            </w:r>
          </w:p>
          <w:p w14:paraId="0497A51F" w14:textId="77777777" w:rsidR="00AE064D" w:rsidRPr="00914F08" w:rsidRDefault="00AE064D" w:rsidP="00705A92">
            <w:pPr>
              <w:spacing w:after="0" w:line="240" w:lineRule="auto"/>
              <w:jc w:val="both"/>
              <w:rPr>
                <w:rFonts w:ascii="Arial" w:eastAsia="Times New Roman" w:hAnsi="Arial" w:cs="Arial"/>
                <w:b/>
                <w:color w:val="000000"/>
                <w:sz w:val="24"/>
                <w:szCs w:val="24"/>
                <w:vertAlign w:val="subscript"/>
              </w:rPr>
            </w:pPr>
          </w:p>
        </w:tc>
      </w:tr>
    </w:tbl>
    <w:p w14:paraId="2CB2BCFE" w14:textId="5EBA54C1" w:rsidR="00AE064D" w:rsidRPr="00914F08" w:rsidRDefault="00BE0C76" w:rsidP="00BE0C76">
      <w:pPr>
        <w:spacing w:after="0" w:line="240" w:lineRule="auto"/>
        <w:jc w:val="both"/>
        <w:rPr>
          <w:rFonts w:ascii="Arial" w:hAnsi="Arial" w:cs="Arial"/>
          <w:sz w:val="24"/>
          <w:szCs w:val="24"/>
        </w:rPr>
      </w:pPr>
      <w:r w:rsidRPr="00914F08">
        <w:rPr>
          <w:rFonts w:ascii="Arial" w:hAnsi="Arial" w:cs="Arial"/>
          <w:sz w:val="24"/>
          <w:szCs w:val="24"/>
        </w:rPr>
        <w:t xml:space="preserve">     </w:t>
      </w:r>
      <w:r w:rsidR="00AE064D" w:rsidRPr="00914F08">
        <w:rPr>
          <w:rFonts w:ascii="Arial" w:hAnsi="Arial" w:cs="Arial"/>
          <w:sz w:val="24"/>
          <w:szCs w:val="24"/>
        </w:rPr>
        <w:t>Respecto de las razones de consumo, se obtuvo:</w:t>
      </w:r>
    </w:p>
    <w:p w14:paraId="4359DA1C" w14:textId="77777777" w:rsidR="00BE0C76" w:rsidRPr="00914F08" w:rsidRDefault="00BE0C76" w:rsidP="00BE0C76">
      <w:pPr>
        <w:spacing w:after="0" w:line="240" w:lineRule="auto"/>
        <w:ind w:left="708" w:firstLine="708"/>
        <w:jc w:val="both"/>
        <w:rPr>
          <w:rFonts w:ascii="Arial" w:hAnsi="Arial" w:cs="Arial"/>
          <w:sz w:val="24"/>
          <w:szCs w:val="24"/>
        </w:rPr>
      </w:pPr>
    </w:p>
    <w:p w14:paraId="60091BE3" w14:textId="77777777" w:rsidR="00AE064D" w:rsidRPr="00914F08" w:rsidRDefault="00AE064D" w:rsidP="00AE064D">
      <w:pPr>
        <w:spacing w:after="0" w:line="240" w:lineRule="auto"/>
        <w:jc w:val="center"/>
        <w:rPr>
          <w:rFonts w:ascii="Arial" w:hAnsi="Arial" w:cs="Arial"/>
          <w:sz w:val="24"/>
          <w:szCs w:val="24"/>
        </w:rPr>
      </w:pPr>
      <w:r w:rsidRPr="00914F08">
        <w:rPr>
          <w:rFonts w:ascii="Arial" w:hAnsi="Arial" w:cs="Arial"/>
          <w:noProof/>
          <w:sz w:val="24"/>
          <w:szCs w:val="24"/>
          <w:lang w:val="en-US"/>
        </w:rPr>
        <w:drawing>
          <wp:inline distT="0" distB="0" distL="0" distR="0" wp14:anchorId="0A464A3F" wp14:editId="2599808F">
            <wp:extent cx="3891687" cy="2609494"/>
            <wp:effectExtent l="0" t="0" r="13970" b="635"/>
            <wp:docPr id="17" name="Gráfico 17">
              <a:extLst xmlns:a="http://schemas.openxmlformats.org/drawingml/2006/main">
                <a:ext uri="{FF2B5EF4-FFF2-40B4-BE49-F238E27FC236}">
                  <a16:creationId xmlns:a16="http://schemas.microsoft.com/office/drawing/2014/main" id="{97B6B70D-FFC3-45DF-BF24-20AE1EA468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87FB578" w14:textId="373EEEF5" w:rsidR="00AE064D" w:rsidRPr="00914F08" w:rsidRDefault="00AE064D" w:rsidP="00AE064D">
      <w:pPr>
        <w:tabs>
          <w:tab w:val="left" w:pos="1260"/>
        </w:tabs>
        <w:spacing w:after="0" w:line="240" w:lineRule="auto"/>
        <w:rPr>
          <w:rFonts w:ascii="Arial" w:eastAsia="Calibri" w:hAnsi="Arial" w:cs="Arial"/>
          <w:iCs/>
          <w:sz w:val="24"/>
          <w:szCs w:val="24"/>
        </w:rPr>
      </w:pPr>
      <w:r w:rsidRPr="00914F08">
        <w:rPr>
          <w:rFonts w:ascii="Arial" w:eastAsia="Calibri" w:hAnsi="Arial" w:cs="Arial"/>
          <w:b/>
          <w:iCs/>
          <w:sz w:val="24"/>
          <w:szCs w:val="24"/>
        </w:rPr>
        <w:tab/>
        <w:t>Fuente:</w:t>
      </w:r>
      <w:r w:rsidRPr="00914F08">
        <w:rPr>
          <w:rFonts w:ascii="Arial" w:eastAsia="Calibri" w:hAnsi="Arial" w:cs="Arial"/>
          <w:iCs/>
          <w:sz w:val="24"/>
          <w:szCs w:val="24"/>
        </w:rPr>
        <w:t xml:space="preserve"> </w:t>
      </w:r>
      <w:r w:rsidR="00BE0C76" w:rsidRPr="00914F08">
        <w:rPr>
          <w:rFonts w:ascii="Arial" w:eastAsia="Calibri" w:hAnsi="Arial" w:cs="Arial"/>
          <w:iCs/>
          <w:sz w:val="24"/>
          <w:szCs w:val="24"/>
        </w:rPr>
        <w:t>Instrumentos aplicados</w:t>
      </w:r>
    </w:p>
    <w:p w14:paraId="3661ACEA" w14:textId="0CE5AF4A" w:rsidR="00AE064D" w:rsidRPr="00914F08" w:rsidRDefault="00AE064D" w:rsidP="00AE064D">
      <w:pPr>
        <w:tabs>
          <w:tab w:val="left" w:pos="1260"/>
        </w:tabs>
        <w:spacing w:after="0" w:line="240" w:lineRule="auto"/>
        <w:rPr>
          <w:rFonts w:ascii="Arial" w:eastAsia="Calibri" w:hAnsi="Arial" w:cs="Arial"/>
          <w:iCs/>
          <w:sz w:val="24"/>
          <w:szCs w:val="24"/>
        </w:rPr>
      </w:pPr>
      <w:r w:rsidRPr="00914F08">
        <w:rPr>
          <w:rFonts w:ascii="Arial" w:eastAsia="Calibri" w:hAnsi="Arial" w:cs="Arial"/>
          <w:b/>
          <w:iCs/>
          <w:sz w:val="24"/>
          <w:szCs w:val="24"/>
        </w:rPr>
        <w:tab/>
        <w:t>Elaboración:</w:t>
      </w:r>
      <w:r w:rsidRPr="00914F08">
        <w:rPr>
          <w:rFonts w:ascii="Arial" w:eastAsia="Calibri" w:hAnsi="Arial" w:cs="Arial"/>
          <w:iCs/>
          <w:sz w:val="24"/>
          <w:szCs w:val="24"/>
        </w:rPr>
        <w:t xml:space="preserve"> </w:t>
      </w:r>
      <w:r w:rsidR="00BE0C76" w:rsidRPr="00914F08">
        <w:rPr>
          <w:rFonts w:ascii="Arial" w:eastAsia="Calibri" w:hAnsi="Arial" w:cs="Arial"/>
          <w:iCs/>
          <w:sz w:val="24"/>
          <w:szCs w:val="24"/>
        </w:rPr>
        <w:t xml:space="preserve">elaboración propia </w:t>
      </w:r>
    </w:p>
    <w:p w14:paraId="62826C58" w14:textId="77777777" w:rsidR="00BE0C76" w:rsidRPr="00914F08" w:rsidRDefault="00BE0C76" w:rsidP="00AE064D">
      <w:pPr>
        <w:tabs>
          <w:tab w:val="left" w:pos="1260"/>
        </w:tabs>
        <w:spacing w:after="0" w:line="240" w:lineRule="auto"/>
        <w:rPr>
          <w:rFonts w:ascii="Arial" w:eastAsia="Calibri" w:hAnsi="Arial" w:cs="Arial"/>
          <w:iCs/>
          <w:sz w:val="24"/>
          <w:szCs w:val="24"/>
        </w:rPr>
      </w:pPr>
    </w:p>
    <w:p w14:paraId="5C334B32" w14:textId="77777777" w:rsidR="00AE064D" w:rsidRPr="00914F08" w:rsidRDefault="00AE064D" w:rsidP="00AE064D">
      <w:pPr>
        <w:spacing w:after="0" w:line="240" w:lineRule="auto"/>
        <w:jc w:val="center"/>
        <w:rPr>
          <w:rFonts w:ascii="Arial" w:hAnsi="Arial" w:cs="Arial"/>
          <w:sz w:val="24"/>
          <w:szCs w:val="24"/>
        </w:rPr>
      </w:pPr>
      <w:r w:rsidRPr="00914F08">
        <w:rPr>
          <w:rFonts w:ascii="Arial" w:hAnsi="Arial" w:cs="Arial"/>
          <w:noProof/>
          <w:sz w:val="24"/>
          <w:szCs w:val="24"/>
          <w:lang w:val="en-US"/>
        </w:rPr>
        <w:drawing>
          <wp:inline distT="0" distB="0" distL="0" distR="0" wp14:anchorId="656FE50D" wp14:editId="66080B3C">
            <wp:extent cx="3657600" cy="2549500"/>
            <wp:effectExtent l="0" t="0" r="0" b="3810"/>
            <wp:docPr id="20" name="Gráfico 20">
              <a:extLst xmlns:a="http://schemas.openxmlformats.org/drawingml/2006/main">
                <a:ext uri="{FF2B5EF4-FFF2-40B4-BE49-F238E27FC236}">
                  <a16:creationId xmlns:a16="http://schemas.microsoft.com/office/drawing/2014/main" id="{A70494BD-5496-45A0-81D0-99576DC0F6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6D8B43A" w14:textId="62F04091" w:rsidR="00AE064D" w:rsidRPr="00914F08" w:rsidRDefault="00AE064D" w:rsidP="00AE064D">
      <w:pPr>
        <w:tabs>
          <w:tab w:val="left" w:pos="1260"/>
        </w:tabs>
        <w:spacing w:after="0" w:line="240" w:lineRule="auto"/>
        <w:rPr>
          <w:rFonts w:ascii="Arial" w:eastAsia="Calibri" w:hAnsi="Arial" w:cs="Arial"/>
          <w:iCs/>
          <w:sz w:val="24"/>
          <w:szCs w:val="24"/>
        </w:rPr>
      </w:pPr>
      <w:r w:rsidRPr="00914F08">
        <w:rPr>
          <w:rFonts w:ascii="Arial" w:eastAsia="Calibri" w:hAnsi="Arial" w:cs="Arial"/>
          <w:b/>
          <w:iCs/>
          <w:sz w:val="24"/>
          <w:szCs w:val="24"/>
        </w:rPr>
        <w:tab/>
        <w:t>Fuente:</w:t>
      </w:r>
      <w:r w:rsidRPr="00914F08">
        <w:rPr>
          <w:rFonts w:ascii="Arial" w:eastAsia="Calibri" w:hAnsi="Arial" w:cs="Arial"/>
          <w:iCs/>
          <w:sz w:val="24"/>
          <w:szCs w:val="24"/>
        </w:rPr>
        <w:t xml:space="preserve"> </w:t>
      </w:r>
      <w:r w:rsidR="00BE0C76" w:rsidRPr="00914F08">
        <w:rPr>
          <w:rFonts w:ascii="Arial" w:eastAsia="Calibri" w:hAnsi="Arial" w:cs="Arial"/>
          <w:iCs/>
          <w:sz w:val="24"/>
          <w:szCs w:val="24"/>
        </w:rPr>
        <w:t>Instrumentos aplicados</w:t>
      </w:r>
    </w:p>
    <w:p w14:paraId="3286E099" w14:textId="21337EDF" w:rsidR="00AE064D" w:rsidRPr="00914F08" w:rsidRDefault="00AE064D" w:rsidP="00AE064D">
      <w:pPr>
        <w:tabs>
          <w:tab w:val="left" w:pos="1260"/>
        </w:tabs>
        <w:spacing w:after="0" w:line="240" w:lineRule="auto"/>
        <w:rPr>
          <w:rFonts w:ascii="Arial" w:eastAsia="Calibri" w:hAnsi="Arial" w:cs="Arial"/>
          <w:iCs/>
          <w:sz w:val="24"/>
          <w:szCs w:val="24"/>
        </w:rPr>
      </w:pPr>
      <w:r w:rsidRPr="00914F08">
        <w:rPr>
          <w:rFonts w:ascii="Arial" w:eastAsia="Calibri" w:hAnsi="Arial" w:cs="Arial"/>
          <w:b/>
          <w:iCs/>
          <w:sz w:val="24"/>
          <w:szCs w:val="24"/>
        </w:rPr>
        <w:lastRenderedPageBreak/>
        <w:tab/>
        <w:t>Elaboración:</w:t>
      </w:r>
      <w:r w:rsidRPr="00914F08">
        <w:rPr>
          <w:rFonts w:ascii="Arial" w:eastAsia="Calibri" w:hAnsi="Arial" w:cs="Arial"/>
          <w:iCs/>
          <w:sz w:val="24"/>
          <w:szCs w:val="24"/>
        </w:rPr>
        <w:t xml:space="preserve"> </w:t>
      </w:r>
      <w:r w:rsidR="00BE0C76" w:rsidRPr="00914F08">
        <w:rPr>
          <w:rFonts w:ascii="Arial" w:eastAsia="Calibri" w:hAnsi="Arial" w:cs="Arial"/>
          <w:iCs/>
          <w:sz w:val="24"/>
          <w:szCs w:val="24"/>
        </w:rPr>
        <w:t xml:space="preserve">elaboración propia </w:t>
      </w:r>
    </w:p>
    <w:p w14:paraId="5BFCE971" w14:textId="77777777" w:rsidR="00BE0C76" w:rsidRPr="00914F08" w:rsidRDefault="00BE0C76" w:rsidP="00BE0C76">
      <w:pPr>
        <w:spacing w:after="0" w:line="240" w:lineRule="auto"/>
        <w:jc w:val="both"/>
        <w:rPr>
          <w:rFonts w:ascii="Arial" w:eastAsia="Calibri" w:hAnsi="Arial" w:cs="Arial"/>
          <w:iCs/>
          <w:sz w:val="24"/>
          <w:szCs w:val="24"/>
        </w:rPr>
      </w:pPr>
    </w:p>
    <w:p w14:paraId="2EEDDC0C" w14:textId="77777777" w:rsidR="00BE0C76" w:rsidRPr="00914F08" w:rsidRDefault="00BE0C76" w:rsidP="00BE0C76">
      <w:pPr>
        <w:spacing w:after="0" w:line="240" w:lineRule="auto"/>
        <w:jc w:val="both"/>
        <w:rPr>
          <w:rFonts w:ascii="Arial" w:hAnsi="Arial" w:cs="Arial"/>
          <w:sz w:val="24"/>
          <w:szCs w:val="24"/>
        </w:rPr>
      </w:pPr>
      <w:r w:rsidRPr="00914F08">
        <w:rPr>
          <w:rFonts w:ascii="Arial" w:eastAsia="Calibri" w:hAnsi="Arial" w:cs="Arial"/>
          <w:iCs/>
          <w:sz w:val="24"/>
          <w:szCs w:val="24"/>
        </w:rPr>
        <w:t xml:space="preserve">      </w:t>
      </w:r>
      <w:r w:rsidR="00AE064D" w:rsidRPr="00914F08">
        <w:rPr>
          <w:rFonts w:ascii="Arial" w:hAnsi="Arial" w:cs="Arial"/>
          <w:sz w:val="24"/>
          <w:szCs w:val="24"/>
        </w:rPr>
        <w:t>El análisis bivariado realizado entre los principales indicadores de cada uno de los componentes de los efectos secundarios obtenidos y, el consumo de las sustancias psicoestimulantes, evidenció: respecto de los efectos psicológicos, Monster Energy OR 10,52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 xml:space="preserve">5,16 -21,5 p &lt; 0,000),   </w:t>
      </w:r>
      <w:proofErr w:type="spellStart"/>
      <w:r w:rsidR="00AE064D" w:rsidRPr="00914F08">
        <w:rPr>
          <w:rFonts w:ascii="Arial" w:hAnsi="Arial" w:cs="Arial"/>
          <w:sz w:val="24"/>
          <w:szCs w:val="24"/>
        </w:rPr>
        <w:t>Alertex</w:t>
      </w:r>
      <w:proofErr w:type="spellEnd"/>
      <w:r w:rsidR="00AE064D" w:rsidRPr="00914F08">
        <w:rPr>
          <w:rFonts w:ascii="Arial" w:hAnsi="Arial" w:cs="Arial"/>
          <w:sz w:val="24"/>
          <w:szCs w:val="24"/>
        </w:rPr>
        <w:t xml:space="preserve"> OR 3,67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1,40 – 9,60 p = 0,009), V220 OR 3,15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 xml:space="preserve">1,25 -7,91 p = 0,009) y </w:t>
      </w:r>
      <w:proofErr w:type="spellStart"/>
      <w:r w:rsidR="00AE064D" w:rsidRPr="00914F08">
        <w:rPr>
          <w:rFonts w:ascii="Arial" w:hAnsi="Arial" w:cs="Arial"/>
          <w:sz w:val="24"/>
          <w:szCs w:val="24"/>
        </w:rPr>
        <w:t>RedBull</w:t>
      </w:r>
      <w:proofErr w:type="spellEnd"/>
      <w:r w:rsidR="00AE064D" w:rsidRPr="00914F08">
        <w:rPr>
          <w:rFonts w:ascii="Arial" w:hAnsi="Arial" w:cs="Arial"/>
          <w:sz w:val="24"/>
          <w:szCs w:val="24"/>
        </w:rPr>
        <w:t xml:space="preserve"> OR 2,84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1,06 -7,7 p = 0,040) tuvieron relación estadísticamente significativa con el desarrollo de aletargamiento; mientras que V220 OR 6,08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2,12 -17,4 p &lt; 0,000), Monter Energy OR 5,92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2,75 -12,75 p &lt; 0,000), Red Bull OR 3,34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 xml:space="preserve">1,38 -8,06 p &lt; 0,000) y </w:t>
      </w:r>
      <w:proofErr w:type="spellStart"/>
      <w:r w:rsidR="00AE064D" w:rsidRPr="00914F08">
        <w:rPr>
          <w:rFonts w:ascii="Arial" w:hAnsi="Arial" w:cs="Arial"/>
          <w:sz w:val="24"/>
          <w:szCs w:val="24"/>
        </w:rPr>
        <w:t>Alertex</w:t>
      </w:r>
      <w:proofErr w:type="spellEnd"/>
      <w:r w:rsidR="00AE064D" w:rsidRPr="00914F08">
        <w:rPr>
          <w:rFonts w:ascii="Arial" w:hAnsi="Arial" w:cs="Arial"/>
          <w:sz w:val="24"/>
          <w:szCs w:val="24"/>
        </w:rPr>
        <w:t xml:space="preserve"> OR 3,26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1,26 -8,42 p = 0,017) tuvieron relación estadísticamente significativa con el desarrollo de labilidad.</w:t>
      </w:r>
    </w:p>
    <w:p w14:paraId="2772DBF2" w14:textId="77777777" w:rsidR="00BE0C76" w:rsidRPr="00914F08" w:rsidRDefault="00BE0C76"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 </w:t>
      </w:r>
      <w:r w:rsidR="00AE064D" w:rsidRPr="00914F08">
        <w:rPr>
          <w:rFonts w:ascii="Arial" w:hAnsi="Arial" w:cs="Arial"/>
          <w:sz w:val="24"/>
          <w:szCs w:val="24"/>
        </w:rPr>
        <w:t>Respecto de los efectos cardiovasculares, únicamente el V220 OR 4,5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1,27 – 15,93 p &lt; 0,000) tuvo relación estadísticamente significativa con el desarrollo de la hipertensión; mientras que V220 OR 3,8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2,01 – 7,2 p &lt; 0,000) y Monster Energy OR 2,63 (IC</w:t>
      </w:r>
      <w:r w:rsidR="00AE064D" w:rsidRPr="00914F08">
        <w:rPr>
          <w:rFonts w:ascii="Arial" w:hAnsi="Arial" w:cs="Arial"/>
          <w:sz w:val="24"/>
          <w:szCs w:val="24"/>
          <w:vertAlign w:val="subscript"/>
        </w:rPr>
        <w:t xml:space="preserve">95% </w:t>
      </w:r>
      <w:r w:rsidR="00AE064D" w:rsidRPr="00914F08">
        <w:rPr>
          <w:rFonts w:ascii="Arial" w:hAnsi="Arial" w:cs="Arial"/>
          <w:sz w:val="24"/>
          <w:szCs w:val="24"/>
        </w:rPr>
        <w:t>1,34 – 5,16 p = 0,012) tuvieron relación estadísticamente significativa en el desarrollo de taquicardia.</w:t>
      </w:r>
    </w:p>
    <w:p w14:paraId="7BE1B6EC"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En relación a los efectos sobre el sueño,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OR 3,88 (IC</w:t>
      </w:r>
      <w:r w:rsidRPr="00914F08">
        <w:rPr>
          <w:rFonts w:ascii="Arial" w:hAnsi="Arial" w:cs="Arial"/>
          <w:sz w:val="24"/>
          <w:szCs w:val="24"/>
          <w:vertAlign w:val="subscript"/>
        </w:rPr>
        <w:t xml:space="preserve">95% </w:t>
      </w:r>
      <w:r w:rsidRPr="00914F08">
        <w:rPr>
          <w:rFonts w:ascii="Arial" w:hAnsi="Arial" w:cs="Arial"/>
          <w:sz w:val="24"/>
          <w:szCs w:val="24"/>
        </w:rPr>
        <w:t>2,32 – 6,50 p &lt; 0,000), el Monster Energy OR 3,61 (IC</w:t>
      </w:r>
      <w:r w:rsidRPr="00914F08">
        <w:rPr>
          <w:rFonts w:ascii="Arial" w:hAnsi="Arial" w:cs="Arial"/>
          <w:sz w:val="24"/>
          <w:szCs w:val="24"/>
          <w:vertAlign w:val="subscript"/>
        </w:rPr>
        <w:t xml:space="preserve">95% </w:t>
      </w:r>
      <w:r w:rsidRPr="00914F08">
        <w:rPr>
          <w:rFonts w:ascii="Arial" w:hAnsi="Arial" w:cs="Arial"/>
          <w:sz w:val="24"/>
          <w:szCs w:val="24"/>
        </w:rPr>
        <w:t>2,09 -6,23 p &lt; 0,000), el V220 OR 2,80 (IC</w:t>
      </w:r>
      <w:r w:rsidRPr="00914F08">
        <w:rPr>
          <w:rFonts w:ascii="Arial" w:hAnsi="Arial" w:cs="Arial"/>
          <w:sz w:val="24"/>
          <w:szCs w:val="24"/>
          <w:vertAlign w:val="subscript"/>
        </w:rPr>
        <w:t xml:space="preserve">95% </w:t>
      </w:r>
      <w:r w:rsidRPr="00914F08">
        <w:rPr>
          <w:rFonts w:ascii="Arial" w:hAnsi="Arial" w:cs="Arial"/>
          <w:sz w:val="24"/>
          <w:szCs w:val="24"/>
        </w:rPr>
        <w:t>1,56 -5,01 p &lt; 0,000) y Red Bull OR 2,60 (IC</w:t>
      </w:r>
      <w:r w:rsidRPr="00914F08">
        <w:rPr>
          <w:rFonts w:ascii="Arial" w:hAnsi="Arial" w:cs="Arial"/>
          <w:sz w:val="24"/>
          <w:szCs w:val="24"/>
          <w:vertAlign w:val="subscript"/>
        </w:rPr>
        <w:t xml:space="preserve">95% </w:t>
      </w:r>
      <w:r w:rsidRPr="00914F08">
        <w:rPr>
          <w:rFonts w:ascii="Arial" w:hAnsi="Arial" w:cs="Arial"/>
          <w:sz w:val="24"/>
          <w:szCs w:val="24"/>
        </w:rPr>
        <w:t>1,41 – 4,47 p = 0,005) tuvieron relación estadísticamente significativa en el desarrollo de Insomnio; mientras que V220 OR 2,70 (IC</w:t>
      </w:r>
      <w:r w:rsidRPr="00914F08">
        <w:rPr>
          <w:rFonts w:ascii="Arial" w:hAnsi="Arial" w:cs="Arial"/>
          <w:sz w:val="24"/>
          <w:szCs w:val="24"/>
          <w:vertAlign w:val="subscript"/>
        </w:rPr>
        <w:t xml:space="preserve">95% </w:t>
      </w:r>
      <w:r w:rsidRPr="00914F08">
        <w:rPr>
          <w:rFonts w:ascii="Arial" w:hAnsi="Arial" w:cs="Arial"/>
          <w:sz w:val="24"/>
          <w:szCs w:val="24"/>
        </w:rPr>
        <w:t>1,46 – 4,99 p = 0,001) y el Red Bull OR 2,49 (IC</w:t>
      </w:r>
      <w:r w:rsidRPr="00914F08">
        <w:rPr>
          <w:rFonts w:ascii="Arial" w:hAnsi="Arial" w:cs="Arial"/>
          <w:sz w:val="24"/>
          <w:szCs w:val="24"/>
          <w:vertAlign w:val="subscript"/>
        </w:rPr>
        <w:t xml:space="preserve">95% </w:t>
      </w:r>
      <w:r w:rsidRPr="00914F08">
        <w:rPr>
          <w:rFonts w:ascii="Arial" w:hAnsi="Arial" w:cs="Arial"/>
          <w:sz w:val="24"/>
          <w:szCs w:val="24"/>
        </w:rPr>
        <w:t>1,27 – 4,86 p = 0,013) mostraron relación estadísticamente significativa en el desarrollo de Somnolencia.</w:t>
      </w:r>
    </w:p>
    <w:p w14:paraId="2138E78E"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Finalmente, en relación a los efectos gastrointestinales, Red Bull OR 15,16 (IC</w:t>
      </w:r>
      <w:r w:rsidRPr="00914F08">
        <w:rPr>
          <w:rFonts w:ascii="Arial" w:hAnsi="Arial" w:cs="Arial"/>
          <w:sz w:val="24"/>
          <w:szCs w:val="24"/>
          <w:vertAlign w:val="subscript"/>
        </w:rPr>
        <w:t xml:space="preserve">95% </w:t>
      </w:r>
      <w:r w:rsidRPr="00914F08">
        <w:rPr>
          <w:rFonts w:ascii="Arial" w:hAnsi="Arial" w:cs="Arial"/>
          <w:sz w:val="24"/>
          <w:szCs w:val="24"/>
        </w:rPr>
        <w:t>3,66 -62,81 p &lt; 0,000), Monster Energy OR 6,31 (IC</w:t>
      </w:r>
      <w:r w:rsidRPr="00914F08">
        <w:rPr>
          <w:rFonts w:ascii="Arial" w:hAnsi="Arial" w:cs="Arial"/>
          <w:sz w:val="24"/>
          <w:szCs w:val="24"/>
          <w:vertAlign w:val="subscript"/>
        </w:rPr>
        <w:t xml:space="preserve">95% </w:t>
      </w:r>
      <w:r w:rsidRPr="00914F08">
        <w:rPr>
          <w:rFonts w:ascii="Arial" w:hAnsi="Arial" w:cs="Arial"/>
          <w:sz w:val="24"/>
          <w:szCs w:val="24"/>
        </w:rPr>
        <w:t xml:space="preserve">1,34 - 29,7 p = 0,01) y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OR 5,86 (IC</w:t>
      </w:r>
      <w:r w:rsidRPr="00914F08">
        <w:rPr>
          <w:rFonts w:ascii="Arial" w:hAnsi="Arial" w:cs="Arial"/>
          <w:sz w:val="24"/>
          <w:szCs w:val="24"/>
          <w:vertAlign w:val="subscript"/>
        </w:rPr>
        <w:t xml:space="preserve">95% </w:t>
      </w:r>
      <w:r w:rsidRPr="00914F08">
        <w:rPr>
          <w:rFonts w:ascii="Arial" w:hAnsi="Arial" w:cs="Arial"/>
          <w:sz w:val="24"/>
          <w:szCs w:val="24"/>
        </w:rPr>
        <w:t>1,24 -27,76 p = 0,015) mostraron relación estadísticamente significativa en el desarrollo de vómito; mientras que V220 OR 5,94 (IC</w:t>
      </w:r>
      <w:r w:rsidRPr="00914F08">
        <w:rPr>
          <w:rFonts w:ascii="Arial" w:hAnsi="Arial" w:cs="Arial"/>
          <w:sz w:val="24"/>
          <w:szCs w:val="24"/>
          <w:vertAlign w:val="subscript"/>
        </w:rPr>
        <w:t xml:space="preserve">95% </w:t>
      </w:r>
      <w:r w:rsidRPr="00914F08">
        <w:rPr>
          <w:rFonts w:ascii="Arial" w:hAnsi="Arial" w:cs="Arial"/>
          <w:sz w:val="24"/>
          <w:szCs w:val="24"/>
        </w:rPr>
        <w:t>2,33 – 15,15 p &lt; 0,000) y Monster Energy OR 5,53 (IC95% 2,83 – 10,8 p &lt; 0,000) estuvieron relacionados con la sudoración.</w:t>
      </w:r>
    </w:p>
    <w:p w14:paraId="31CCE750" w14:textId="77777777" w:rsidR="00BE0C76" w:rsidRPr="00914F08" w:rsidRDefault="00BE0C76" w:rsidP="00BE0C76">
      <w:pPr>
        <w:spacing w:after="0" w:line="240" w:lineRule="auto"/>
        <w:jc w:val="both"/>
        <w:rPr>
          <w:rFonts w:ascii="Arial" w:hAnsi="Arial" w:cs="Arial"/>
          <w:b/>
          <w:sz w:val="24"/>
          <w:szCs w:val="24"/>
        </w:rPr>
      </w:pPr>
    </w:p>
    <w:p w14:paraId="7F3F9B4A" w14:textId="216E7C49" w:rsidR="00BE0C76" w:rsidRPr="00914F08" w:rsidRDefault="00BE0C76" w:rsidP="00BE0C76">
      <w:pPr>
        <w:spacing w:after="0" w:line="240" w:lineRule="auto"/>
        <w:jc w:val="both"/>
        <w:rPr>
          <w:rFonts w:ascii="Arial" w:hAnsi="Arial" w:cs="Arial"/>
          <w:sz w:val="24"/>
          <w:szCs w:val="24"/>
        </w:rPr>
      </w:pPr>
      <w:r w:rsidRPr="00914F08">
        <w:rPr>
          <w:rFonts w:ascii="Arial" w:hAnsi="Arial" w:cs="Arial"/>
          <w:b/>
          <w:sz w:val="24"/>
          <w:szCs w:val="24"/>
        </w:rPr>
        <w:t>DISCUSIÓN</w:t>
      </w:r>
    </w:p>
    <w:p w14:paraId="0721C832" w14:textId="77777777" w:rsidR="00BE0C76" w:rsidRPr="00914F08" w:rsidRDefault="00BE0C76" w:rsidP="00BE0C76">
      <w:pPr>
        <w:spacing w:after="0" w:line="240" w:lineRule="auto"/>
        <w:ind w:firstLine="284"/>
        <w:jc w:val="both"/>
        <w:rPr>
          <w:rFonts w:ascii="Arial" w:hAnsi="Arial" w:cs="Arial"/>
          <w:sz w:val="24"/>
          <w:szCs w:val="24"/>
        </w:rPr>
      </w:pPr>
    </w:p>
    <w:p w14:paraId="6502F4D9"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Los hallazgos en el presente estudio hacen una aproximación de los problemas de consumo de sustancias psicoestimulantes en los estudiantes de enfermería y dejan incógnitas sobre la problemática universitaria acerca de los efectos adversos a largo plazo del consumo.</w:t>
      </w:r>
    </w:p>
    <w:p w14:paraId="46B9D4E8"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La prevalencia general de consumo de psicoestimulantes fue del 100%, en una edad promedio de 21 +/- 3 años cumplidos con una moda de 20 años, esto concuerda con el marco teórico de esta investigación puesto que el rango de edad de consumo es de 18 a 24 años (adolescentes y jóvenes), mayoritariamente los que se encuentran en edad de 20 años. En concordancia a las investigaciones relacionadas al consumo de psicoestimulantes, en el estudio realizado por Estévez y Ramos </w:t>
      </w:r>
      <w:sdt>
        <w:sdtPr>
          <w:rPr>
            <w:rFonts w:ascii="Arial" w:hAnsi="Arial" w:cs="Arial"/>
            <w:sz w:val="24"/>
            <w:szCs w:val="24"/>
          </w:rPr>
          <w:id w:val="-1472899185"/>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(2014)</w:t>
          </w:r>
          <w:r w:rsidRPr="00914F08">
            <w:rPr>
              <w:rFonts w:ascii="Arial" w:hAnsi="Arial" w:cs="Arial"/>
              <w:sz w:val="24"/>
              <w:szCs w:val="24"/>
            </w:rPr>
            <w:fldChar w:fldCharType="end"/>
          </w:r>
        </w:sdtContent>
      </w:sdt>
      <w:r w:rsidRPr="00914F08">
        <w:rPr>
          <w:rFonts w:ascii="Arial" w:hAnsi="Arial" w:cs="Arial"/>
          <w:sz w:val="24"/>
          <w:szCs w:val="24"/>
        </w:rPr>
        <w:t xml:space="preserve"> se determina que en forma general, los estudiantes de sexo femenino (54,6%) presentaron el mayor consumo, lo cual es coherente con los resultados de esta investigación (79% de </w:t>
      </w:r>
      <w:r w:rsidRPr="00914F08">
        <w:rPr>
          <w:rFonts w:ascii="Arial" w:hAnsi="Arial" w:cs="Arial"/>
          <w:sz w:val="24"/>
          <w:szCs w:val="24"/>
        </w:rPr>
        <w:lastRenderedPageBreak/>
        <w:t>consumidores son del sexo femenino), aunque cabe mencionar que la población de estudio fue mayoritariamente femenina y representó el 79%.</w:t>
      </w:r>
    </w:p>
    <w:p w14:paraId="7F7A106F"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Se evidenció  que el psicoestimulantes más consumido fue el café, cuyo principio activo es la cafeína representado por el 85%; resultados similares se obtuvieron en investigaciones previas  en Canadá, Morgan </w:t>
      </w:r>
      <w:sdt>
        <w:sdtPr>
          <w:rPr>
            <w:rFonts w:ascii="Arial" w:hAnsi="Arial" w:cs="Arial"/>
            <w:sz w:val="24"/>
            <w:szCs w:val="24"/>
          </w:rPr>
          <w:id w:val="266505190"/>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Mor17 \n  \t  \l 12298 </w:instrText>
          </w:r>
          <w:r w:rsidRPr="00914F08">
            <w:rPr>
              <w:rFonts w:ascii="Arial" w:hAnsi="Arial" w:cs="Arial"/>
              <w:sz w:val="24"/>
              <w:szCs w:val="24"/>
            </w:rPr>
            <w:fldChar w:fldCharType="separate"/>
          </w:r>
          <w:r w:rsidRPr="00914F08">
            <w:rPr>
              <w:rFonts w:ascii="Arial" w:hAnsi="Arial" w:cs="Arial"/>
              <w:noProof/>
              <w:sz w:val="24"/>
              <w:szCs w:val="24"/>
            </w:rPr>
            <w:t>(2017)</w:t>
          </w:r>
          <w:r w:rsidRPr="00914F08">
            <w:rPr>
              <w:rFonts w:ascii="Arial" w:hAnsi="Arial" w:cs="Arial"/>
              <w:sz w:val="24"/>
              <w:szCs w:val="24"/>
            </w:rPr>
            <w:fldChar w:fldCharType="end"/>
          </w:r>
        </w:sdtContent>
      </w:sdt>
      <w:r w:rsidRPr="00914F08">
        <w:rPr>
          <w:rFonts w:ascii="Arial" w:hAnsi="Arial" w:cs="Arial"/>
          <w:sz w:val="24"/>
          <w:szCs w:val="24"/>
        </w:rPr>
        <w:t>, señala que la sustancia más consumida fue la cafeína con el 95%</w:t>
      </w:r>
      <w:r w:rsidRPr="00914F08">
        <w:rPr>
          <w:rFonts w:ascii="Arial" w:hAnsi="Arial" w:cs="Arial"/>
          <w:sz w:val="24"/>
          <w:szCs w:val="24"/>
        </w:rPr>
        <w:fldChar w:fldCharType="begin"/>
      </w:r>
      <w:r w:rsidRPr="00914F08">
        <w:rPr>
          <w:rFonts w:ascii="Arial" w:hAnsi="Arial" w:cs="Arial"/>
          <w:sz w:val="24"/>
          <w:szCs w:val="24"/>
        </w:rPr>
        <w:instrText xml:space="preserve"> ADDIN ZOTERO_ITEM CSL_CITATION {"citationID":"xu71hPZC","properties":{"formattedCitation":"(72)","plainCitation":"(72)","dontUpdate":true,"noteIndex":0},"citationItems":[{"id":"tbN4BK7c/0DYQK4cq","uris":["http://zotero.org/users/local/zJzPthab/items/BF9MIFNZ"],"uri":["http://zotero.org/users/local/zJzPthab/items/BF9MIFNZ"],"itemData":{"id":228,"type":"article-journal","title":"Consumo de Estimulantes Cerebrais por Estudantes de Medicina de uma Universidade do Extremo Sul do Brasil: Prevalência, Motivação e Efeitos Percebidos","container-title":"Revista Brasileira de Educação Médica","page":"102-109","volume":"41","issue":"1","source":"Crossref","abstract":"Introduction: Psychostimulants are substances with the capacity to heighten alertness and motivation, also featuring antidepressant proprieties improving mood and cognitive performance. For this reason, many students use these substances indiscriminately. The purpose of the study was to investigate the use of substances stimulating the central nervous system by medical students at the Universidade Federal do Rio Grande (Furg), Brazil, verifying the most commonly used substances, the reason for use, and the user’s profile. Methods: A quantitative, observational and cross-sectional study was conducted on 200 of Furg’s medical students enrolled at the institution in the second semester of 2015. Data collection was conducted by means of a standardized and auto-fill questionnaire, featuring questions on demographics, behavior and stimulant use. Information about the consumption of caffeine, methylphenidate, modafinil, piracetam, energy drinks, amphetamines, and MDMA was collected, with the results analyzed by means of the Fisher’s exact test on statistics program Stata 11.2. Results: The prevalence of stimulant substance usage at some point in the students’ lives was 57.5% (95% CI 50.9 to 64.4), with 51.3% having started during college. Usage of psycho stimulants at the time of the research was 52.3% (95% CI 45.3 to 59.3), with 16.6% of the students consuming more than one psycho stimulant substance. The most popular substances were energy drinks (38%) and caffeine, consumed more than five times a week (27%). The consumption of stimulants was higher among students in the earlier stages of the degree. The main reasons given by the students were to compensate for sleep deprivation (47.7%) and to improve reasoning, attention, and/or memory (31.6%). Perceived effects of the stimulant use saw 81.2% reporting sleep reduction, 70.8% concentration improvement, 58.0% fatigue reduction, 56.1% improved reasoning abilities, and 54.0% heightened wellbeing. Conclusions: Stimulant consumption among medical students was high. More than half of the students reported consuming psycho stimulants and one in three of them used them to improve cognitive performance. The use of these substances was considered effective by most of the users, which may hamper the fight against these substances.","URL":"http://www.scielo.br/scielo.php?script=sci_arttext&amp;pid=S0100-55022017000100102&amp;lng=pt&amp;tlng=pt","DOI":"10.1590/1981-52712015v41n1rb20160035","ISSN":"0100-5502","shortTitle":"Consumo de Estimulantes Cerebrais por Estudantes de Medicina de uma Universidade do Extremo Sul do Brasil","language":"pt","author":[{"family":"Morgan","given":"Henri Luiz"},{"family":"Petry","given":"Arthur Franzen"},{"family":"Licks","given":"Pedro Afonso Keller"},{"family":"Ballester","given":"Artur Oliveira"},{"family":"Teixeira","given":"Kellwin Nery"},{"family":"Dumith","given":"Samuel C."}],"issued":{"date-parts":[["2017",1]]},"accessed":{"date-parts":[["2018",9,29]]}}}],"schema":"https://github.com/citation-style-language/schema/raw/master/csl-citation.json"} </w:instrText>
      </w:r>
      <w:r w:rsidRPr="00914F08">
        <w:rPr>
          <w:rFonts w:ascii="Arial" w:hAnsi="Arial" w:cs="Arial"/>
          <w:sz w:val="24"/>
          <w:szCs w:val="24"/>
        </w:rPr>
        <w:fldChar w:fldCharType="end"/>
      </w:r>
      <w:r w:rsidRPr="00914F08">
        <w:rPr>
          <w:rFonts w:ascii="Arial" w:hAnsi="Arial" w:cs="Arial"/>
          <w:sz w:val="24"/>
          <w:szCs w:val="24"/>
        </w:rPr>
        <w:t xml:space="preserve">; en el estudio realizado en Ecuador por Estévez &amp; Ramos </w:t>
      </w:r>
      <w:sdt>
        <w:sdtPr>
          <w:rPr>
            <w:rFonts w:ascii="Arial" w:hAnsi="Arial" w:cs="Arial"/>
            <w:sz w:val="24"/>
            <w:szCs w:val="24"/>
          </w:rPr>
          <w:id w:val="-127392476"/>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(2014)</w:t>
          </w:r>
          <w:r w:rsidRPr="00914F08">
            <w:rPr>
              <w:rFonts w:ascii="Arial" w:hAnsi="Arial" w:cs="Arial"/>
              <w:sz w:val="24"/>
              <w:szCs w:val="24"/>
            </w:rPr>
            <w:fldChar w:fldCharType="end"/>
          </w:r>
        </w:sdtContent>
      </w:sdt>
      <w:r w:rsidRPr="00914F08">
        <w:rPr>
          <w:rFonts w:ascii="Arial" w:hAnsi="Arial" w:cs="Arial"/>
          <w:sz w:val="24"/>
          <w:szCs w:val="24"/>
        </w:rPr>
        <w:t xml:space="preserve"> en la PUCE ,el  52%  de estudiantes consume café, datos similares se obtuvieron en Nicaragua,  por Alonzo y Pineda </w:t>
      </w:r>
      <w:sdt>
        <w:sdtPr>
          <w:rPr>
            <w:rFonts w:ascii="Arial" w:hAnsi="Arial" w:cs="Arial"/>
            <w:sz w:val="24"/>
            <w:szCs w:val="24"/>
          </w:rPr>
          <w:id w:val="183183085"/>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Alo13 \n  \t  \l 12298 </w:instrText>
          </w:r>
          <w:r w:rsidRPr="00914F08">
            <w:rPr>
              <w:rFonts w:ascii="Arial" w:hAnsi="Arial" w:cs="Arial"/>
              <w:sz w:val="24"/>
              <w:szCs w:val="24"/>
            </w:rPr>
            <w:fldChar w:fldCharType="separate"/>
          </w:r>
          <w:r w:rsidRPr="00914F08">
            <w:rPr>
              <w:rFonts w:ascii="Arial" w:hAnsi="Arial" w:cs="Arial"/>
              <w:noProof/>
              <w:sz w:val="24"/>
              <w:szCs w:val="24"/>
            </w:rPr>
            <w:t>(2013)</w:t>
          </w:r>
          <w:r w:rsidRPr="00914F08">
            <w:rPr>
              <w:rFonts w:ascii="Arial" w:hAnsi="Arial" w:cs="Arial"/>
              <w:sz w:val="24"/>
              <w:szCs w:val="24"/>
            </w:rPr>
            <w:fldChar w:fldCharType="end"/>
          </w:r>
        </w:sdtContent>
      </w:sdt>
      <w:r w:rsidRPr="00914F08">
        <w:rPr>
          <w:rFonts w:ascii="Arial" w:hAnsi="Arial" w:cs="Arial"/>
          <w:sz w:val="24"/>
          <w:szCs w:val="24"/>
        </w:rPr>
        <w:t xml:space="preserve"> en la UNAN-León, donde el consumo de cafeína fue del 80%.</w:t>
      </w:r>
    </w:p>
    <w:p w14:paraId="3BE598BC"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El presente estudio demostró que no existe una diferencia entre el consumo de sustancias psicoestimulantes entre hombres y mujeres además es importante destacar que Ecuador es un país productor y exportador de café, por lo que beber café forma parte de la vida cotidiana de la mayoría de ecuatorianos, encontrándose similar realidad a los estudios de países como Nicaragua y Brasil.</w:t>
      </w:r>
    </w:p>
    <w:p w14:paraId="6D6EACCA"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En segundo lugar, se encuentra el consumo de bebidas energéticas, las cuales el presente estudio se dividió en dos grupos de acuerdo a sus componentes: como taurina + cafeína contenidas en el V220 con el (41,7%) y Red Bull con un consumo (6%). En cuanto a las bebidas con cafeína + taurina y otros adictivos como Vive 100 y el Monster Energy, presentaron consumos menores, 22% y 6%, respectivamente. Esto representa una prevalencia general de consumo de bebidas energéticas de 76% en los estudiantes de la carrera, consumo similar al reportado por Salvador y Flores (2013), en el </w:t>
      </w:r>
      <w:proofErr w:type="gramStart"/>
      <w:r w:rsidRPr="00914F08">
        <w:rPr>
          <w:rFonts w:ascii="Arial" w:hAnsi="Arial" w:cs="Arial"/>
          <w:sz w:val="24"/>
          <w:szCs w:val="24"/>
        </w:rPr>
        <w:t>cual,  de</w:t>
      </w:r>
      <w:proofErr w:type="gramEnd"/>
      <w:r w:rsidRPr="00914F08">
        <w:rPr>
          <w:rFonts w:ascii="Arial" w:hAnsi="Arial" w:cs="Arial"/>
          <w:sz w:val="24"/>
          <w:szCs w:val="24"/>
        </w:rPr>
        <w:t xml:space="preserve"> los 150 estudiantes encuestados el 76% aceptó haber consumido bebidas energéticas. El consumo es superior a lo encontrado por Estévez &amp; Ramos</w:t>
      </w:r>
      <w:sdt>
        <w:sdtPr>
          <w:rPr>
            <w:rFonts w:ascii="Arial" w:hAnsi="Arial" w:cs="Arial"/>
            <w:sz w:val="24"/>
            <w:szCs w:val="24"/>
          </w:rPr>
          <w:id w:val="-1386709753"/>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 xml:space="preserve"> (2014)</w:t>
          </w:r>
          <w:r w:rsidRPr="00914F08">
            <w:rPr>
              <w:rFonts w:ascii="Arial" w:hAnsi="Arial" w:cs="Arial"/>
              <w:sz w:val="24"/>
              <w:szCs w:val="24"/>
            </w:rPr>
            <w:fldChar w:fldCharType="end"/>
          </w:r>
        </w:sdtContent>
      </w:sdt>
      <w:r w:rsidRPr="00914F08">
        <w:rPr>
          <w:rFonts w:ascii="Arial" w:hAnsi="Arial" w:cs="Arial"/>
          <w:sz w:val="24"/>
          <w:szCs w:val="24"/>
        </w:rPr>
        <w:t>, cuyo consumo represento el 44%.</w:t>
      </w:r>
    </w:p>
    <w:p w14:paraId="793967EC"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En cuanto a los fármacos utilizados como psicoestimulantes, se dividió en dos grupos representados por el componente químico principal, los resultados demuestran que: el 6,8% IC (4,22 – 9,38) afirma consumir </w:t>
      </w:r>
      <w:proofErr w:type="spellStart"/>
      <w:r w:rsidRPr="00914F08">
        <w:rPr>
          <w:rFonts w:ascii="Arial" w:hAnsi="Arial" w:cs="Arial"/>
          <w:sz w:val="24"/>
          <w:szCs w:val="24"/>
        </w:rPr>
        <w:t>despertol</w:t>
      </w:r>
      <w:proofErr w:type="spellEnd"/>
      <w:r w:rsidRPr="00914F08">
        <w:rPr>
          <w:rFonts w:ascii="Arial" w:hAnsi="Arial" w:cs="Arial"/>
          <w:sz w:val="24"/>
          <w:szCs w:val="24"/>
        </w:rPr>
        <w:t xml:space="preserve"> con su principio activo cafeína y,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con principio activo de Modafinilo un 6% IC (4- 8.4). Estudios anteriores demuestran mayor consumo de Modafinilo, como en el estudio de </w:t>
      </w:r>
      <w:proofErr w:type="spellStart"/>
      <w:r w:rsidRPr="00914F08">
        <w:rPr>
          <w:rFonts w:ascii="Arial" w:hAnsi="Arial" w:cs="Arial"/>
          <w:sz w:val="24"/>
          <w:szCs w:val="24"/>
        </w:rPr>
        <w:t>Estevez</w:t>
      </w:r>
      <w:proofErr w:type="spellEnd"/>
      <w:r w:rsidRPr="00914F08">
        <w:rPr>
          <w:rFonts w:ascii="Arial" w:hAnsi="Arial" w:cs="Arial"/>
          <w:sz w:val="24"/>
          <w:szCs w:val="24"/>
        </w:rPr>
        <w:t xml:space="preserve"> &amp; Ramos </w:t>
      </w:r>
      <w:sdt>
        <w:sdtPr>
          <w:rPr>
            <w:rFonts w:ascii="Arial" w:hAnsi="Arial" w:cs="Arial"/>
            <w:sz w:val="24"/>
            <w:szCs w:val="24"/>
          </w:rPr>
          <w:id w:val="1165905571"/>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(2014)</w:t>
          </w:r>
          <w:r w:rsidRPr="00914F08">
            <w:rPr>
              <w:rFonts w:ascii="Arial" w:hAnsi="Arial" w:cs="Arial"/>
              <w:sz w:val="24"/>
              <w:szCs w:val="24"/>
            </w:rPr>
            <w:fldChar w:fldCharType="end"/>
          </w:r>
        </w:sdtContent>
      </w:sdt>
      <w:r w:rsidRPr="00914F08">
        <w:rPr>
          <w:rFonts w:ascii="Arial" w:hAnsi="Arial" w:cs="Arial"/>
          <w:sz w:val="24"/>
          <w:szCs w:val="24"/>
        </w:rPr>
        <w:t xml:space="preserve">, donde el consumo de Modafinilo fue del 14%, sin embargo, en el consumo de Modafinilo determinado por Alonzo &amp; Pineda  </w:t>
      </w:r>
      <w:sdt>
        <w:sdtPr>
          <w:rPr>
            <w:rFonts w:ascii="Arial" w:hAnsi="Arial" w:cs="Arial"/>
            <w:sz w:val="24"/>
            <w:szCs w:val="24"/>
          </w:rPr>
          <w:id w:val="-489550768"/>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Alo13 \n  \t  \l 12298 </w:instrText>
          </w:r>
          <w:r w:rsidRPr="00914F08">
            <w:rPr>
              <w:rFonts w:ascii="Arial" w:hAnsi="Arial" w:cs="Arial"/>
              <w:sz w:val="24"/>
              <w:szCs w:val="24"/>
            </w:rPr>
            <w:fldChar w:fldCharType="separate"/>
          </w:r>
          <w:r w:rsidRPr="00914F08">
            <w:rPr>
              <w:rFonts w:ascii="Arial" w:hAnsi="Arial" w:cs="Arial"/>
              <w:noProof/>
              <w:sz w:val="24"/>
              <w:szCs w:val="24"/>
            </w:rPr>
            <w:t>(2013)</w:t>
          </w:r>
          <w:r w:rsidRPr="00914F08">
            <w:rPr>
              <w:rFonts w:ascii="Arial" w:hAnsi="Arial" w:cs="Arial"/>
              <w:sz w:val="24"/>
              <w:szCs w:val="24"/>
            </w:rPr>
            <w:fldChar w:fldCharType="end"/>
          </w:r>
        </w:sdtContent>
      </w:sdt>
      <w:r w:rsidRPr="00914F08">
        <w:rPr>
          <w:rFonts w:ascii="Arial" w:hAnsi="Arial" w:cs="Arial"/>
          <w:sz w:val="24"/>
          <w:szCs w:val="24"/>
        </w:rPr>
        <w:t xml:space="preserve"> fue del 5%.  Se evidencia un consumo menor en la carrera de Enfermería, son dos realidades diferentes, los estudios mencionados fueron realizados en estudiantes de la carrera de medicina, en donde la carga horario es más alta, aunque los resultados evidencian que el consumo no es muy alto en la carrera pero si tomamos en cuenta la farmacocinética de estos fármacos, el consumidor permanece bajo su efecto por un periodo de 6 a 15 horas hasta su eliminación, conforme lo señala Toro </w:t>
      </w:r>
      <w:sdt>
        <w:sdtPr>
          <w:rPr>
            <w:rFonts w:ascii="Arial" w:hAnsi="Arial" w:cs="Arial"/>
            <w:sz w:val="24"/>
            <w:szCs w:val="24"/>
          </w:rPr>
          <w:id w:val="1407421118"/>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Tor13 \n  \t  \l 12298 </w:instrText>
          </w:r>
          <w:r w:rsidRPr="00914F08">
            <w:rPr>
              <w:rFonts w:ascii="Arial" w:hAnsi="Arial" w:cs="Arial"/>
              <w:sz w:val="24"/>
              <w:szCs w:val="24"/>
            </w:rPr>
            <w:fldChar w:fldCharType="separate"/>
          </w:r>
          <w:r w:rsidRPr="00914F08">
            <w:rPr>
              <w:rFonts w:ascii="Arial" w:hAnsi="Arial" w:cs="Arial"/>
              <w:noProof/>
              <w:sz w:val="24"/>
              <w:szCs w:val="24"/>
            </w:rPr>
            <w:t>(2013)</w:t>
          </w:r>
          <w:r w:rsidRPr="00914F08">
            <w:rPr>
              <w:rFonts w:ascii="Arial" w:hAnsi="Arial" w:cs="Arial"/>
              <w:sz w:val="24"/>
              <w:szCs w:val="24"/>
            </w:rPr>
            <w:fldChar w:fldCharType="end"/>
          </w:r>
        </w:sdtContent>
      </w:sdt>
      <w:r w:rsidRPr="00914F08">
        <w:rPr>
          <w:rFonts w:ascii="Arial" w:hAnsi="Arial" w:cs="Arial"/>
          <w:sz w:val="24"/>
          <w:szCs w:val="24"/>
        </w:rPr>
        <w:t>.</w:t>
      </w:r>
      <w:r w:rsidRPr="00914F08">
        <w:rPr>
          <w:rFonts w:ascii="Arial" w:hAnsi="Arial" w:cs="Arial"/>
          <w:b/>
          <w:sz w:val="24"/>
          <w:szCs w:val="24"/>
        </w:rPr>
        <w:t xml:space="preserve"> </w:t>
      </w:r>
      <w:r w:rsidRPr="00914F08">
        <w:rPr>
          <w:rFonts w:ascii="Arial" w:hAnsi="Arial" w:cs="Arial"/>
          <w:sz w:val="24"/>
          <w:szCs w:val="24"/>
        </w:rPr>
        <w:t>Aquí se determina un hallazgo alarmante en quienes consumen los fármacos, pues el 6 % de estudiantes pasa bajo el efecto del modafinilo un tercio del día, lo que representa el 20 % de la semana académica, lo que implica que, una vez transcurrido el tiempo de efecto se presentaran efectos colaterales causados por la falta de sueño y descanso, afectando a la calidad de vida académica.</w:t>
      </w:r>
    </w:p>
    <w:p w14:paraId="3808F90A"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En cuanto a los semestres con mayor porcentaje de consumo de psicoestimulantes, los resultados develaron que el semestre con mayor consumo de psicoestimulantes fue tercero, con un consumo de café del 93%, bebidas energizantes 70% y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 </w:t>
      </w:r>
      <w:proofErr w:type="spellStart"/>
      <w:r w:rsidRPr="00914F08">
        <w:rPr>
          <w:rFonts w:ascii="Arial" w:hAnsi="Arial" w:cs="Arial"/>
          <w:sz w:val="24"/>
          <w:szCs w:val="24"/>
        </w:rPr>
        <w:t>despertol</w:t>
      </w:r>
      <w:proofErr w:type="spellEnd"/>
      <w:r w:rsidRPr="00914F08">
        <w:rPr>
          <w:rFonts w:ascii="Arial" w:hAnsi="Arial" w:cs="Arial"/>
          <w:sz w:val="24"/>
          <w:szCs w:val="24"/>
        </w:rPr>
        <w:t xml:space="preserve"> 29%; seguido del primer semestre con un </w:t>
      </w:r>
      <w:r w:rsidRPr="00914F08">
        <w:rPr>
          <w:rFonts w:ascii="Arial" w:hAnsi="Arial" w:cs="Arial"/>
          <w:sz w:val="24"/>
          <w:szCs w:val="24"/>
        </w:rPr>
        <w:lastRenderedPageBreak/>
        <w:t xml:space="preserve">consumo de café del 92%, bebidas energizantes 60% y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 </w:t>
      </w:r>
      <w:proofErr w:type="spellStart"/>
      <w:r w:rsidRPr="00914F08">
        <w:rPr>
          <w:rFonts w:ascii="Arial" w:hAnsi="Arial" w:cs="Arial"/>
          <w:sz w:val="24"/>
          <w:szCs w:val="24"/>
        </w:rPr>
        <w:t>despertol</w:t>
      </w:r>
      <w:proofErr w:type="spellEnd"/>
      <w:r w:rsidRPr="00914F08">
        <w:rPr>
          <w:rFonts w:ascii="Arial" w:hAnsi="Arial" w:cs="Arial"/>
          <w:sz w:val="24"/>
          <w:szCs w:val="24"/>
        </w:rPr>
        <w:t xml:space="preserve"> 25%, concordando con los estudios de la Pontificia Universidad Católica del Ecuador, donde </w:t>
      </w:r>
      <w:proofErr w:type="spellStart"/>
      <w:r w:rsidRPr="00914F08">
        <w:rPr>
          <w:rFonts w:ascii="Arial" w:hAnsi="Arial" w:cs="Arial"/>
          <w:sz w:val="24"/>
          <w:szCs w:val="24"/>
        </w:rPr>
        <w:t>Estevez</w:t>
      </w:r>
      <w:proofErr w:type="spellEnd"/>
      <w:r w:rsidRPr="00914F08">
        <w:rPr>
          <w:rFonts w:ascii="Arial" w:hAnsi="Arial" w:cs="Arial"/>
          <w:sz w:val="24"/>
          <w:szCs w:val="24"/>
        </w:rPr>
        <w:t xml:space="preserve"> &amp; Ramos </w:t>
      </w:r>
      <w:sdt>
        <w:sdtPr>
          <w:rPr>
            <w:rFonts w:ascii="Arial" w:hAnsi="Arial" w:cs="Arial"/>
            <w:sz w:val="24"/>
            <w:szCs w:val="24"/>
          </w:rPr>
          <w:id w:val="920219838"/>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 xml:space="preserve"> (2014)</w:t>
          </w:r>
          <w:r w:rsidRPr="00914F08">
            <w:rPr>
              <w:rFonts w:ascii="Arial" w:hAnsi="Arial" w:cs="Arial"/>
              <w:sz w:val="24"/>
              <w:szCs w:val="24"/>
            </w:rPr>
            <w:fldChar w:fldCharType="end"/>
          </w:r>
        </w:sdtContent>
      </w:sdt>
      <w:r w:rsidRPr="00914F08">
        <w:rPr>
          <w:rFonts w:ascii="Arial" w:hAnsi="Arial" w:cs="Arial"/>
          <w:sz w:val="24"/>
          <w:szCs w:val="24"/>
        </w:rPr>
        <w:t xml:space="preserve"> determinaron que el consumo de psicoestimulantes en primer semestre fue del 75%; similar resultado obtuvo Acosta &amp; Silva </w:t>
      </w:r>
      <w:sdt>
        <w:sdtPr>
          <w:rPr>
            <w:rFonts w:ascii="Arial" w:hAnsi="Arial" w:cs="Arial"/>
            <w:sz w:val="24"/>
            <w:szCs w:val="24"/>
          </w:rPr>
          <w:id w:val="226820136"/>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Aco18 \n  \t  \l 12298 </w:instrText>
          </w:r>
          <w:r w:rsidRPr="00914F08">
            <w:rPr>
              <w:rFonts w:ascii="Arial" w:hAnsi="Arial" w:cs="Arial"/>
              <w:sz w:val="24"/>
              <w:szCs w:val="24"/>
            </w:rPr>
            <w:fldChar w:fldCharType="separate"/>
          </w:r>
          <w:r w:rsidRPr="00914F08">
            <w:rPr>
              <w:rFonts w:ascii="Arial" w:hAnsi="Arial" w:cs="Arial"/>
              <w:noProof/>
              <w:sz w:val="24"/>
              <w:szCs w:val="24"/>
            </w:rPr>
            <w:t>(2018)</w:t>
          </w:r>
          <w:r w:rsidRPr="00914F08">
            <w:rPr>
              <w:rFonts w:ascii="Arial" w:hAnsi="Arial" w:cs="Arial"/>
              <w:sz w:val="24"/>
              <w:szCs w:val="24"/>
            </w:rPr>
            <w:fldChar w:fldCharType="end"/>
          </w:r>
        </w:sdtContent>
      </w:sdt>
      <w:r w:rsidRPr="00914F08">
        <w:rPr>
          <w:rFonts w:ascii="Arial" w:hAnsi="Arial" w:cs="Arial"/>
          <w:sz w:val="24"/>
          <w:szCs w:val="24"/>
        </w:rPr>
        <w:t>, en la Universidad Católica de Santa María en el Perú, donde el consumo de  psicoestimulantes en el primer ciclo fue del 22 %.</w:t>
      </w:r>
    </w:p>
    <w:p w14:paraId="3BBC60A1"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En el presente estudio se observan dos “momentos críticos” en los cuales el consumo aumenta, uno al ingreso a la carrera (primer semestre) donde ocurren una serie de adaptaciones a la nueva etapa estudiantil que implica mayores responsabilidades frente a la academia, luego parece que los estudiantes se estabilizan y practican el autocuidado, para aumentar el consumo en tercer semestre y disminuir progresivamente hasta sexto semestre. En contraposición a estos resultados,  está el  estudio realizado por Luna </w:t>
      </w:r>
      <w:sdt>
        <w:sdtPr>
          <w:rPr>
            <w:rFonts w:ascii="Arial" w:hAnsi="Arial" w:cs="Arial"/>
            <w:sz w:val="24"/>
            <w:szCs w:val="24"/>
          </w:rPr>
          <w:id w:val="-153307222"/>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Lun18 \n  \t  \l 12298 </w:instrText>
          </w:r>
          <w:r w:rsidRPr="00914F08">
            <w:rPr>
              <w:rFonts w:ascii="Arial" w:hAnsi="Arial" w:cs="Arial"/>
              <w:sz w:val="24"/>
              <w:szCs w:val="24"/>
            </w:rPr>
            <w:fldChar w:fldCharType="separate"/>
          </w:r>
          <w:r w:rsidRPr="00914F08">
            <w:rPr>
              <w:rFonts w:ascii="Arial" w:hAnsi="Arial" w:cs="Arial"/>
              <w:noProof/>
              <w:sz w:val="24"/>
              <w:szCs w:val="24"/>
            </w:rPr>
            <w:t>(2018)</w:t>
          </w:r>
          <w:r w:rsidRPr="00914F08">
            <w:rPr>
              <w:rFonts w:ascii="Arial" w:hAnsi="Arial" w:cs="Arial"/>
              <w:sz w:val="24"/>
              <w:szCs w:val="24"/>
            </w:rPr>
            <w:fldChar w:fldCharType="end"/>
          </w:r>
        </w:sdtContent>
      </w:sdt>
      <w:r w:rsidRPr="00914F08">
        <w:rPr>
          <w:rFonts w:ascii="Arial" w:hAnsi="Arial" w:cs="Arial"/>
          <w:sz w:val="24"/>
          <w:szCs w:val="24"/>
        </w:rPr>
        <w:t xml:space="preserve"> en la Universidad de West Paulista respecto a los fármacos usados como psicoestimulantes, se utilizó con mayor frecuencia por los estudiantes de medicina de primero y sexto año, un 65% y 34% respectivamente; probablemente este consumo se relacione con el aumento de cargas académicas y por tal motivo del estrés profesional propio de cada nivel de estudio. En ambos casos, se puede inferir que se compromete la salud del estudiante universitario, en diferentes momentos de su vida académica.</w:t>
      </w:r>
    </w:p>
    <w:p w14:paraId="539C7CEE"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Respecto a la frecuencia de consumo de café, el 41% de los estudiantes toma entre 3 a 7 tazas diarias, con una equivalencia aproximada de 125 a 350 mg de cafeína al día; según la Autoridad Europea de Seguridad Alimentaria, EFSA, </w:t>
      </w:r>
      <w:sdt>
        <w:sdtPr>
          <w:rPr>
            <w:rFonts w:ascii="Arial" w:hAnsi="Arial" w:cs="Arial"/>
            <w:sz w:val="24"/>
            <w:szCs w:val="24"/>
          </w:rPr>
          <w:id w:val="-1599099684"/>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Mun15 \n  \t  \l 12298 </w:instrText>
          </w:r>
          <w:r w:rsidRPr="00914F08">
            <w:rPr>
              <w:rFonts w:ascii="Arial" w:hAnsi="Arial" w:cs="Arial"/>
              <w:sz w:val="24"/>
              <w:szCs w:val="24"/>
            </w:rPr>
            <w:fldChar w:fldCharType="separate"/>
          </w:r>
          <w:r w:rsidRPr="00914F08">
            <w:rPr>
              <w:rFonts w:ascii="Arial" w:hAnsi="Arial" w:cs="Arial"/>
              <w:noProof/>
              <w:sz w:val="24"/>
              <w:szCs w:val="24"/>
            </w:rPr>
            <w:t xml:space="preserve"> (2015)</w:t>
          </w:r>
          <w:r w:rsidRPr="00914F08">
            <w:rPr>
              <w:rFonts w:ascii="Arial" w:hAnsi="Arial" w:cs="Arial"/>
              <w:sz w:val="24"/>
              <w:szCs w:val="24"/>
            </w:rPr>
            <w:fldChar w:fldCharType="end"/>
          </w:r>
        </w:sdtContent>
      </w:sdt>
      <w:r w:rsidRPr="00914F08">
        <w:rPr>
          <w:rFonts w:ascii="Arial" w:hAnsi="Arial" w:cs="Arial"/>
          <w:sz w:val="24"/>
          <w:szCs w:val="24"/>
        </w:rPr>
        <w:t>, la cantidad normal de consumo por día es de  75 – 300 mg/día.</w:t>
      </w:r>
    </w:p>
    <w:p w14:paraId="615CF24A"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En cuanto a la frecuencia de consumo de bebidas energizantes se encontró que el 37% de los estudiantes consume 1 botella diaria, variando la cantidad de cafeína, taurina, guaraná, ginseng, entre otros componentes, de acuerdo a la industria que los fabrica.  En tanto que, en un estudio realizado en la ciudad de México por Ramón &amp; Cabral  </w:t>
      </w:r>
      <w:sdt>
        <w:sdtPr>
          <w:rPr>
            <w:rFonts w:ascii="Arial" w:hAnsi="Arial" w:cs="Arial"/>
            <w:sz w:val="24"/>
            <w:szCs w:val="24"/>
          </w:rPr>
          <w:id w:val="146717134"/>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Ram13 \n  \t  \l 12298 </w:instrText>
          </w:r>
          <w:r w:rsidRPr="00914F08">
            <w:rPr>
              <w:rFonts w:ascii="Arial" w:hAnsi="Arial" w:cs="Arial"/>
              <w:sz w:val="24"/>
              <w:szCs w:val="24"/>
            </w:rPr>
            <w:fldChar w:fldCharType="separate"/>
          </w:r>
          <w:r w:rsidRPr="00914F08">
            <w:rPr>
              <w:rFonts w:ascii="Arial" w:hAnsi="Arial" w:cs="Arial"/>
              <w:noProof/>
              <w:sz w:val="24"/>
              <w:szCs w:val="24"/>
            </w:rPr>
            <w:t>(2013)</w:t>
          </w:r>
          <w:r w:rsidRPr="00914F08">
            <w:rPr>
              <w:rFonts w:ascii="Arial" w:hAnsi="Arial" w:cs="Arial"/>
              <w:sz w:val="24"/>
              <w:szCs w:val="24"/>
            </w:rPr>
            <w:fldChar w:fldCharType="end"/>
          </w:r>
        </w:sdtContent>
      </w:sdt>
      <w:r w:rsidRPr="00914F08">
        <w:rPr>
          <w:rFonts w:ascii="Arial" w:hAnsi="Arial" w:cs="Arial"/>
          <w:sz w:val="24"/>
          <w:szCs w:val="24"/>
        </w:rPr>
        <w:t>, se encontró que el 78 % de los investigados consumen de 1 a 2 veces por semana, 18 % de 3 a 5 veces por semana y 4 % las consume todos los días. De lo cual es importante destacar que los resultados obtenidos en la presente investigación del consumo de estas bebidas energéticas son relativamente altos, frente a otros hallazgos.</w:t>
      </w:r>
    </w:p>
    <w:p w14:paraId="2DED2C20"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El consumo de fármacos es relativamente menor, sin embargo, es importante tomar en cuenta la población estudiantil que recurre a este mecanismo como recurso para rendir mejor en los estudios. El 10% de la muestra afirma haber consumido al menos 1 tableta semanal de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o </w:t>
      </w:r>
      <w:proofErr w:type="spellStart"/>
      <w:r w:rsidRPr="00914F08">
        <w:rPr>
          <w:rFonts w:ascii="Arial" w:hAnsi="Arial" w:cs="Arial"/>
          <w:sz w:val="24"/>
          <w:szCs w:val="24"/>
        </w:rPr>
        <w:t>despertol</w:t>
      </w:r>
      <w:proofErr w:type="spellEnd"/>
      <w:r w:rsidRPr="00914F08">
        <w:rPr>
          <w:rFonts w:ascii="Arial" w:hAnsi="Arial" w:cs="Arial"/>
          <w:sz w:val="24"/>
          <w:szCs w:val="24"/>
        </w:rPr>
        <w:t xml:space="preserve"> y un 1% usar alrededor de 2 – 3 tabletas semanales.</w:t>
      </w:r>
    </w:p>
    <w:p w14:paraId="4B75FCA6" w14:textId="77777777"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Mediante el análisis de las razones de consumo de psicoestimulantes, se logró asociarlas en cuatro grupos.  El primero denominado  </w:t>
      </w:r>
      <w:r w:rsidRPr="00914F08">
        <w:rPr>
          <w:rFonts w:ascii="Arial" w:hAnsi="Arial" w:cs="Arial"/>
          <w:i/>
          <w:sz w:val="24"/>
          <w:szCs w:val="24"/>
        </w:rPr>
        <w:t>para mejorar el desempeño académico</w:t>
      </w:r>
      <w:r w:rsidRPr="00914F08">
        <w:rPr>
          <w:rFonts w:ascii="Arial" w:hAnsi="Arial" w:cs="Arial"/>
          <w:sz w:val="24"/>
          <w:szCs w:val="24"/>
        </w:rPr>
        <w:t xml:space="preserve"> (34%), evidenció razones de consumo como mejorar razonamiento, atención y/o memoria, mejorar concentración y mejorar el desempeño académico, resultados que concuerdan con los obtenidos en el estudio de Morgan </w:t>
      </w:r>
      <w:sdt>
        <w:sdtPr>
          <w:rPr>
            <w:rFonts w:ascii="Arial" w:hAnsi="Arial" w:cs="Arial"/>
            <w:sz w:val="24"/>
            <w:szCs w:val="24"/>
          </w:rPr>
          <w:id w:val="-342706465"/>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Mor17 \n  \t  \l 12298 </w:instrText>
          </w:r>
          <w:r w:rsidRPr="00914F08">
            <w:rPr>
              <w:rFonts w:ascii="Arial" w:hAnsi="Arial" w:cs="Arial"/>
              <w:sz w:val="24"/>
              <w:szCs w:val="24"/>
            </w:rPr>
            <w:fldChar w:fldCharType="separate"/>
          </w:r>
          <w:r w:rsidRPr="00914F08">
            <w:rPr>
              <w:rFonts w:ascii="Arial" w:hAnsi="Arial" w:cs="Arial"/>
              <w:noProof/>
              <w:sz w:val="24"/>
              <w:szCs w:val="24"/>
            </w:rPr>
            <w:t>(2017)</w:t>
          </w:r>
          <w:r w:rsidRPr="00914F08">
            <w:rPr>
              <w:rFonts w:ascii="Arial" w:hAnsi="Arial" w:cs="Arial"/>
              <w:sz w:val="24"/>
              <w:szCs w:val="24"/>
            </w:rPr>
            <w:fldChar w:fldCharType="end"/>
          </w:r>
        </w:sdtContent>
      </w:sdt>
      <w:r w:rsidRPr="00914F08">
        <w:rPr>
          <w:rFonts w:ascii="Arial" w:hAnsi="Arial" w:cs="Arial"/>
          <w:sz w:val="24"/>
          <w:szCs w:val="24"/>
        </w:rPr>
        <w:t xml:space="preserve"> en la Universidad Federal de Rio Grande en Brasil, en el cual el consumo de psicoestimulantes fue para mejorar la concentración 81,2%.   El segundo grupo  denominado   </w:t>
      </w:r>
      <w:r w:rsidRPr="00914F08">
        <w:rPr>
          <w:rFonts w:ascii="Arial" w:hAnsi="Arial" w:cs="Arial"/>
          <w:i/>
          <w:sz w:val="24"/>
          <w:szCs w:val="24"/>
        </w:rPr>
        <w:t>por sobrecarga de trabajo</w:t>
      </w:r>
      <w:r w:rsidRPr="00914F08">
        <w:rPr>
          <w:rFonts w:ascii="Arial" w:hAnsi="Arial" w:cs="Arial"/>
          <w:sz w:val="24"/>
          <w:szCs w:val="24"/>
        </w:rPr>
        <w:t xml:space="preserve"> (31%) presentó razones de consumo como para estar despierto, para estudiar para un examen y  para cumplir la carga horaria, lo que concuerda con la tesis elaborada </w:t>
      </w:r>
      <w:r w:rsidRPr="00914F08">
        <w:rPr>
          <w:rFonts w:ascii="Arial" w:hAnsi="Arial" w:cs="Arial"/>
          <w:sz w:val="24"/>
          <w:szCs w:val="24"/>
        </w:rPr>
        <w:lastRenderedPageBreak/>
        <w:t xml:space="preserve">por Estévez &amp; Ramos </w:t>
      </w:r>
      <w:sdt>
        <w:sdtPr>
          <w:rPr>
            <w:rFonts w:ascii="Arial" w:hAnsi="Arial" w:cs="Arial"/>
            <w:sz w:val="24"/>
            <w:szCs w:val="24"/>
          </w:rPr>
          <w:id w:val="1982958070"/>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(2014)</w:t>
          </w:r>
          <w:r w:rsidRPr="00914F08">
            <w:rPr>
              <w:rFonts w:ascii="Arial" w:hAnsi="Arial" w:cs="Arial"/>
              <w:sz w:val="24"/>
              <w:szCs w:val="24"/>
            </w:rPr>
            <w:fldChar w:fldCharType="end"/>
          </w:r>
        </w:sdtContent>
      </w:sdt>
      <w:r w:rsidRPr="00914F08">
        <w:rPr>
          <w:rFonts w:ascii="Arial" w:hAnsi="Arial" w:cs="Arial"/>
          <w:sz w:val="24"/>
          <w:szCs w:val="24"/>
        </w:rPr>
        <w:t>, en el cual la principal causa de consumo fue estudiar para un examen con el 61,7%, al igual que en el estudio realizado por Acosta &amp; Silva</w:t>
      </w:r>
      <w:sdt>
        <w:sdtPr>
          <w:rPr>
            <w:rFonts w:ascii="Arial" w:hAnsi="Arial" w:cs="Arial"/>
            <w:sz w:val="24"/>
            <w:szCs w:val="24"/>
          </w:rPr>
          <w:id w:val="-1699775946"/>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Aco18 \n  \t  \l 12298 </w:instrText>
          </w:r>
          <w:r w:rsidRPr="00914F08">
            <w:rPr>
              <w:rFonts w:ascii="Arial" w:hAnsi="Arial" w:cs="Arial"/>
              <w:sz w:val="24"/>
              <w:szCs w:val="24"/>
            </w:rPr>
            <w:fldChar w:fldCharType="separate"/>
          </w:r>
          <w:r w:rsidRPr="00914F08">
            <w:rPr>
              <w:rFonts w:ascii="Arial" w:hAnsi="Arial" w:cs="Arial"/>
              <w:noProof/>
              <w:sz w:val="24"/>
              <w:szCs w:val="24"/>
            </w:rPr>
            <w:t xml:space="preserve"> (2018)</w:t>
          </w:r>
          <w:r w:rsidRPr="00914F08">
            <w:rPr>
              <w:rFonts w:ascii="Arial" w:hAnsi="Arial" w:cs="Arial"/>
              <w:sz w:val="24"/>
              <w:szCs w:val="24"/>
            </w:rPr>
            <w:fldChar w:fldCharType="end"/>
          </w:r>
        </w:sdtContent>
      </w:sdt>
      <w:r w:rsidRPr="00914F08">
        <w:rPr>
          <w:rFonts w:ascii="Arial" w:hAnsi="Arial" w:cs="Arial"/>
          <w:sz w:val="24"/>
          <w:szCs w:val="24"/>
        </w:rPr>
        <w:t>, donde el 38.7% consume estas sustancias en periodo de exámenes, y el 32.9% por estrés académico</w:t>
      </w:r>
      <w:r w:rsidRPr="00914F08">
        <w:rPr>
          <w:rFonts w:ascii="Arial" w:hAnsi="Arial" w:cs="Arial"/>
          <w:sz w:val="24"/>
          <w:szCs w:val="24"/>
        </w:rPr>
        <w:fldChar w:fldCharType="begin"/>
      </w:r>
      <w:r w:rsidRPr="00914F08">
        <w:rPr>
          <w:rFonts w:ascii="Arial" w:hAnsi="Arial" w:cs="Arial"/>
          <w:sz w:val="24"/>
          <w:szCs w:val="24"/>
        </w:rPr>
        <w:instrText xml:space="preserve"> ADDIN ZOTERO_ITEM CSL_CITATION {"citationID":"N2biNP4t","properties":{"formattedCitation":"(82)","plainCitation":"(82)","dontUpdate":true,"noteIndex":0},"citationItems":[{"id":208,"uris":["http://zotero.org/users/local/zJzPthab/items/2HLMS4TD"],"uri":["http://zotero.org/users/local/zJzPthab/items/2HLMS4TD"],"itemData":{"id":208,"type":"article","title":"Nivel de conocimiento y consumo de sustancias estimulantes en Estudiantes de Enfermería de la Universidad Nacional del Santa. Nuevo Chimbote, 2017","URL":"http://repositorio.uns.edu.pe/bitstream/handle/UNS/3127/47250.pdf?sequence=1&amp;isAllowed=y","accessed":{"date-parts":[["2018",9,29]]}}}],"schema":"https://github.com/citation-style-language/schema/raw/master/csl-citation.json"} </w:instrText>
      </w:r>
      <w:r w:rsidRPr="00914F08">
        <w:rPr>
          <w:rFonts w:ascii="Arial" w:hAnsi="Arial" w:cs="Arial"/>
          <w:sz w:val="24"/>
          <w:szCs w:val="24"/>
        </w:rPr>
        <w:fldChar w:fldCharType="end"/>
      </w:r>
      <w:r w:rsidRPr="00914F08">
        <w:rPr>
          <w:rFonts w:ascii="Arial" w:hAnsi="Arial" w:cs="Arial"/>
          <w:sz w:val="24"/>
          <w:szCs w:val="24"/>
        </w:rPr>
        <w:t>.</w:t>
      </w:r>
    </w:p>
    <w:p w14:paraId="48D9970D" w14:textId="5E84AB02" w:rsidR="00BE0C76" w:rsidRPr="00914F08" w:rsidRDefault="00AE064D" w:rsidP="00BE0C76">
      <w:pPr>
        <w:spacing w:after="0" w:line="240" w:lineRule="auto"/>
        <w:ind w:firstLine="284"/>
        <w:jc w:val="both"/>
        <w:rPr>
          <w:rFonts w:ascii="Arial" w:hAnsi="Arial" w:cs="Arial"/>
          <w:sz w:val="24"/>
          <w:szCs w:val="24"/>
        </w:rPr>
      </w:pPr>
      <w:r w:rsidRPr="00914F08">
        <w:rPr>
          <w:rFonts w:ascii="Arial" w:hAnsi="Arial" w:cs="Arial"/>
          <w:sz w:val="24"/>
          <w:szCs w:val="24"/>
        </w:rPr>
        <w:t xml:space="preserve">Estévez &amp; Ramos </w:t>
      </w:r>
      <w:sdt>
        <w:sdtPr>
          <w:rPr>
            <w:rFonts w:ascii="Arial" w:hAnsi="Arial" w:cs="Arial"/>
            <w:sz w:val="24"/>
            <w:szCs w:val="24"/>
          </w:rPr>
          <w:id w:val="260958535"/>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(2014)</w:t>
          </w:r>
          <w:r w:rsidRPr="00914F08">
            <w:rPr>
              <w:rFonts w:ascii="Arial" w:hAnsi="Arial" w:cs="Arial"/>
              <w:sz w:val="24"/>
              <w:szCs w:val="24"/>
            </w:rPr>
            <w:fldChar w:fldCharType="end"/>
          </w:r>
        </w:sdtContent>
      </w:sdt>
      <w:r w:rsidRPr="00914F08">
        <w:rPr>
          <w:rFonts w:ascii="Arial" w:hAnsi="Arial" w:cs="Arial"/>
          <w:sz w:val="24"/>
          <w:szCs w:val="24"/>
        </w:rPr>
        <w:t>, afirman que debido a que los estudiantes se encuentran en periodos de estrés académico, por las actividades presenciales en el día y la organización de actividades académicas demandadas por el sistema de evaluación continuo, genera el uso sistemático del consumo de sustancias psicoestimulantes, para rendir académicamente.</w:t>
      </w:r>
    </w:p>
    <w:p w14:paraId="1190DB2D"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 xml:space="preserve">El tercer grupo, denominado </w:t>
      </w:r>
      <w:r w:rsidRPr="00914F08">
        <w:rPr>
          <w:rFonts w:ascii="Arial" w:hAnsi="Arial" w:cs="Arial"/>
          <w:i/>
          <w:sz w:val="24"/>
          <w:szCs w:val="24"/>
        </w:rPr>
        <w:t>por influencia social</w:t>
      </w:r>
      <w:r w:rsidRPr="00914F08">
        <w:rPr>
          <w:rFonts w:ascii="Arial" w:hAnsi="Arial" w:cs="Arial"/>
          <w:sz w:val="24"/>
          <w:szCs w:val="24"/>
        </w:rPr>
        <w:t xml:space="preserve"> (21%), evidencia como razones de consumo la moda y la influencia del marketing, esto se puede asociar a lo referido por Berríos</w:t>
      </w:r>
      <w:sdt>
        <w:sdtPr>
          <w:rPr>
            <w:rFonts w:ascii="Arial" w:hAnsi="Arial" w:cs="Arial"/>
            <w:sz w:val="24"/>
            <w:szCs w:val="24"/>
          </w:rPr>
          <w:id w:val="1076789757"/>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Ber07 \n  \t  \l 12298 </w:instrText>
          </w:r>
          <w:r w:rsidRPr="00914F08">
            <w:rPr>
              <w:rFonts w:ascii="Arial" w:hAnsi="Arial" w:cs="Arial"/>
              <w:sz w:val="24"/>
              <w:szCs w:val="24"/>
            </w:rPr>
            <w:fldChar w:fldCharType="separate"/>
          </w:r>
          <w:r w:rsidRPr="00914F08">
            <w:rPr>
              <w:rFonts w:ascii="Arial" w:hAnsi="Arial" w:cs="Arial"/>
              <w:noProof/>
              <w:sz w:val="24"/>
              <w:szCs w:val="24"/>
            </w:rPr>
            <w:t xml:space="preserve"> (2007)</w:t>
          </w:r>
          <w:r w:rsidRPr="00914F08">
            <w:rPr>
              <w:rFonts w:ascii="Arial" w:hAnsi="Arial" w:cs="Arial"/>
              <w:sz w:val="24"/>
              <w:szCs w:val="24"/>
            </w:rPr>
            <w:fldChar w:fldCharType="end"/>
          </w:r>
        </w:sdtContent>
      </w:sdt>
      <w:r w:rsidRPr="00914F08">
        <w:rPr>
          <w:rFonts w:ascii="Arial" w:hAnsi="Arial" w:cs="Arial"/>
          <w:sz w:val="24"/>
          <w:szCs w:val="24"/>
        </w:rPr>
        <w:t xml:space="preserve">, donde los adolescentes tienen mayor riesgo de ser influenciados socialmente.  Finalmente, el cuarto grupo denominado </w:t>
      </w:r>
      <w:r w:rsidRPr="00914F08">
        <w:rPr>
          <w:rFonts w:ascii="Arial" w:hAnsi="Arial" w:cs="Arial"/>
          <w:i/>
          <w:sz w:val="24"/>
          <w:szCs w:val="24"/>
        </w:rPr>
        <w:t>por influencia familiar y de compañeros</w:t>
      </w:r>
      <w:r w:rsidRPr="00914F08">
        <w:rPr>
          <w:rFonts w:ascii="Arial" w:hAnsi="Arial" w:cs="Arial"/>
          <w:sz w:val="24"/>
          <w:szCs w:val="24"/>
        </w:rPr>
        <w:t xml:space="preserve">, representa el 14% de las razones de consumo, destacándose las </w:t>
      </w:r>
      <w:r w:rsidR="007201F1" w:rsidRPr="00914F08">
        <w:rPr>
          <w:rFonts w:ascii="Arial" w:hAnsi="Arial" w:cs="Arial"/>
          <w:sz w:val="24"/>
          <w:szCs w:val="24"/>
        </w:rPr>
        <w:t>responsabilidades y la tradición familiares</w:t>
      </w:r>
      <w:r w:rsidRPr="00914F08">
        <w:rPr>
          <w:rFonts w:ascii="Arial" w:hAnsi="Arial" w:cs="Arial"/>
          <w:sz w:val="24"/>
          <w:szCs w:val="24"/>
        </w:rPr>
        <w:t xml:space="preserve"> en referencia al café, ya que en nuestro país es uno de los productos de la cultura ecuatoriana. En síntesis, los resultados evidencian que las principales razones de consumo son para obtener un óptimo rendimiento académico.</w:t>
      </w:r>
    </w:p>
    <w:p w14:paraId="5284C69C"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 xml:space="preserve">Dentro de los efectos secundarios, los psicológicos representaron el 37%, éstos evidenciaron síntomas como aletargamiento y labilidad. En el análisis bivariado, se comparó los efectos anteriormente descritos con el consumo de los psicoestimulantes, evidenciándose que el riesgo de padecer aletargamiento para la bebida Monster Energy es de 23, 2 veces OR 23,2 IC (6,93-77.7) p˂0,000 y para el V220 es 3,63 veces más riesgo de producir aletargamiento al consumirla OR 3,63 IC (6,93-77,7). En relación con los encontrados por Estévez &amp; Ramos </w:t>
      </w:r>
      <w:sdt>
        <w:sdtPr>
          <w:rPr>
            <w:rFonts w:ascii="Arial" w:hAnsi="Arial" w:cs="Arial"/>
            <w:sz w:val="24"/>
            <w:szCs w:val="24"/>
          </w:rPr>
          <w:id w:val="-1472207667"/>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(2014)</w:t>
          </w:r>
          <w:r w:rsidRPr="00914F08">
            <w:rPr>
              <w:rFonts w:ascii="Arial" w:hAnsi="Arial" w:cs="Arial"/>
              <w:sz w:val="24"/>
              <w:szCs w:val="24"/>
            </w:rPr>
            <w:fldChar w:fldCharType="end"/>
          </w:r>
        </w:sdtContent>
      </w:sdt>
      <w:r w:rsidRPr="00914F08">
        <w:rPr>
          <w:rFonts w:ascii="Arial" w:hAnsi="Arial" w:cs="Arial"/>
          <w:sz w:val="24"/>
          <w:szCs w:val="24"/>
        </w:rPr>
        <w:t xml:space="preserve"> en la PUCE, los efectos adversos descritos por los sujetos de la investigación son distintos, haciendo referencia a la ansiedad con un 15 % como efecto psicológico.</w:t>
      </w:r>
    </w:p>
    <w:p w14:paraId="4DA5EB24"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 xml:space="preserve">Otro efecto secundario fue la labilidad donde el consumo de V220 tiene un riesgo de generarlo de 7,48 veces OR 7,48 IC (2,44-22,89) p&lt; 0.000, y la bebida Monster Energy tiene un riesgo de 9,60 veces de generarlo OR 9,60 IC (2,96 – 12,75) p&lt;0,000; estos resultados no se han podido confrontar con otros documentos científicos. En cuanto a los efectos cardiovasculares, tenemos la hipertensión, donde se evidenció que si el estudiante consume V220 presenta un riesgo de 5,07 veces de sufrirlo OR 5,07 IC (1,34-19) p&lt;0.008; es decir que este tipo de bebida es la que puede causar más veces hipertensión. </w:t>
      </w:r>
    </w:p>
    <w:p w14:paraId="43CED0C3"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En el análisis, los efectos relacionados con el sueño no tuvieron mayor relevancia, lo que contrasta con el resultado de Estévez &amp; Ramos</w:t>
      </w:r>
      <w:sdt>
        <w:sdtPr>
          <w:rPr>
            <w:rFonts w:ascii="Arial" w:hAnsi="Arial" w:cs="Arial"/>
            <w:sz w:val="24"/>
            <w:szCs w:val="24"/>
          </w:rPr>
          <w:id w:val="-1983762970"/>
          <w:citation/>
        </w:sdtPr>
        <w:sdtEndPr/>
        <w:sdtContent>
          <w:r w:rsidRPr="00914F08">
            <w:rPr>
              <w:rFonts w:ascii="Arial" w:hAnsi="Arial" w:cs="Arial"/>
              <w:sz w:val="24"/>
              <w:szCs w:val="24"/>
            </w:rPr>
            <w:fldChar w:fldCharType="begin"/>
          </w:r>
          <w:r w:rsidRPr="00914F08">
            <w:rPr>
              <w:rFonts w:ascii="Arial" w:hAnsi="Arial" w:cs="Arial"/>
              <w:sz w:val="24"/>
              <w:szCs w:val="24"/>
            </w:rPr>
            <w:instrText xml:space="preserve">CITATION Est141 \n  \t  \l 12298 </w:instrText>
          </w:r>
          <w:r w:rsidRPr="00914F08">
            <w:rPr>
              <w:rFonts w:ascii="Arial" w:hAnsi="Arial" w:cs="Arial"/>
              <w:sz w:val="24"/>
              <w:szCs w:val="24"/>
            </w:rPr>
            <w:fldChar w:fldCharType="separate"/>
          </w:r>
          <w:r w:rsidRPr="00914F08">
            <w:rPr>
              <w:rFonts w:ascii="Arial" w:hAnsi="Arial" w:cs="Arial"/>
              <w:noProof/>
              <w:sz w:val="24"/>
              <w:szCs w:val="24"/>
            </w:rPr>
            <w:t xml:space="preserve"> (2014)</w:t>
          </w:r>
          <w:r w:rsidRPr="00914F08">
            <w:rPr>
              <w:rFonts w:ascii="Arial" w:hAnsi="Arial" w:cs="Arial"/>
              <w:sz w:val="24"/>
              <w:szCs w:val="24"/>
            </w:rPr>
            <w:fldChar w:fldCharType="end"/>
          </w:r>
        </w:sdtContent>
      </w:sdt>
      <w:r w:rsidRPr="00914F08">
        <w:rPr>
          <w:rFonts w:ascii="Arial" w:hAnsi="Arial" w:cs="Arial"/>
          <w:sz w:val="24"/>
          <w:szCs w:val="24"/>
        </w:rPr>
        <w:t>,  donde el insomnio alcanzo un 14%.</w:t>
      </w:r>
    </w:p>
    <w:p w14:paraId="769E36A4"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 xml:space="preserve">El efecto causado a nivel gastrointestinal que tuvo mayor relevancia fue el vómito, con el consumo de Modafinilo,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y la bebida energética Monster Energy, que tuvieron un riesgo de generar de 7,2 veces más el efecto OR 7,2 con IC (1,26-41) con un p&lt;0,010. No se dispone otros estudios para establecer comparaciones de los resultados obtenidos.</w:t>
      </w:r>
    </w:p>
    <w:p w14:paraId="21AC7240"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 xml:space="preserve">De acuerdo a los objetivos planteados al inicio del presente estudio logramos cumplirlos de tal modo que nuestras interrogantes han sido respondidas con datos estadísticamente relevantes que dan a  conocer la actual situación sobre el consumo de psicoestimulantes en la carrera de enfermería, permitiendo abrir </w:t>
      </w:r>
      <w:r w:rsidRPr="00914F08">
        <w:rPr>
          <w:rFonts w:ascii="Arial" w:hAnsi="Arial" w:cs="Arial"/>
          <w:sz w:val="24"/>
          <w:szCs w:val="24"/>
        </w:rPr>
        <w:lastRenderedPageBreak/>
        <w:t>nuevas interrogantes acerca de esta problemática universitaria que va incrementando de manera silenciosa pero importante como lo mencionado por diversos estudios en Estados Unidos, España y algunos países Latinoamericanos.</w:t>
      </w:r>
    </w:p>
    <w:p w14:paraId="7E729662"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En cuanto a las limitaciones del estudio, es importante mencionar que la población estudiantil de la carrera de enfermería es inminentemente femenina, por lo que, al realizar el análisis del consumo por sexo, no se observaron diferencias significativas.  Sin embargo, hubiera sido importante tener un mayor grupo representativo del sexo masculino, para analizar si los resultados obtenidos varían respecto a este componente. Otra limitación importante a tener en cuenta fue la falta de información epidemiológica y estadística del problema de estudio en carreras de enfermería en el Ecuador, por lo que se fue necesario tomar como referencia, estadísticas mundiales con enfoque en Latinoamérica.</w:t>
      </w:r>
    </w:p>
    <w:p w14:paraId="5AC4AB56" w14:textId="77777777" w:rsidR="007201F1" w:rsidRPr="00914F08" w:rsidRDefault="007201F1" w:rsidP="007201F1">
      <w:pPr>
        <w:spacing w:after="0" w:line="240" w:lineRule="auto"/>
        <w:ind w:firstLine="284"/>
        <w:jc w:val="both"/>
        <w:rPr>
          <w:rFonts w:ascii="Arial" w:hAnsi="Arial" w:cs="Arial"/>
          <w:sz w:val="24"/>
          <w:szCs w:val="24"/>
        </w:rPr>
      </w:pPr>
    </w:p>
    <w:p w14:paraId="23400ACC" w14:textId="77777777" w:rsidR="007201F1" w:rsidRPr="00914F08" w:rsidRDefault="007201F1" w:rsidP="007201F1">
      <w:pPr>
        <w:spacing w:after="0" w:line="240" w:lineRule="auto"/>
        <w:jc w:val="both"/>
        <w:rPr>
          <w:rFonts w:ascii="Arial" w:hAnsi="Arial" w:cs="Arial"/>
          <w:sz w:val="24"/>
          <w:szCs w:val="24"/>
        </w:rPr>
      </w:pPr>
      <w:r w:rsidRPr="00914F08">
        <w:rPr>
          <w:rFonts w:ascii="Arial" w:hAnsi="Arial" w:cs="Arial"/>
          <w:b/>
          <w:sz w:val="24"/>
          <w:szCs w:val="24"/>
        </w:rPr>
        <w:t>CONCLUSIONES</w:t>
      </w:r>
    </w:p>
    <w:p w14:paraId="51027451" w14:textId="77777777" w:rsidR="007201F1" w:rsidRPr="00914F08" w:rsidRDefault="007201F1" w:rsidP="007201F1">
      <w:pPr>
        <w:spacing w:after="0" w:line="240" w:lineRule="auto"/>
        <w:ind w:firstLine="284"/>
        <w:jc w:val="both"/>
        <w:rPr>
          <w:rFonts w:ascii="Arial" w:hAnsi="Arial" w:cs="Arial"/>
          <w:sz w:val="24"/>
          <w:szCs w:val="24"/>
        </w:rPr>
      </w:pPr>
    </w:p>
    <w:p w14:paraId="7B280B60"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La prevalencia de consumo de sustancias psicoestimulantes para mejorar el rendimiento académico en los y las estudiantes de la Carrera de Enfermería de la Universidad Central del Ecuador fue del 100%.</w:t>
      </w:r>
    </w:p>
    <w:p w14:paraId="26604F03"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El café es el tipo de sustancia consumida con mayor frecuencia en los semestres de primero a sexto con un porcentaje representativo mayor al 80% y hasta un 93%.</w:t>
      </w:r>
    </w:p>
    <w:p w14:paraId="7F56C99C"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Las bebidas energizantes se consumen en alto porcentaje en toda la población estudiada, existiendo un elevado consumo por los estudiantes de primero y tercer semestre, con un consumo de 60 y 70% respectivamente.</w:t>
      </w:r>
    </w:p>
    <w:p w14:paraId="6F9F4602" w14:textId="77777777"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 xml:space="preserve">En cuanto a los fármacos, su mayor consumo se registró también en el primer y tercer semestres con 25%, y 29% respectivamente. De éstos, los que son de mayor elección para el consumo, el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y </w:t>
      </w:r>
      <w:proofErr w:type="spellStart"/>
      <w:r w:rsidRPr="00914F08">
        <w:rPr>
          <w:rFonts w:ascii="Arial" w:hAnsi="Arial" w:cs="Arial"/>
          <w:sz w:val="24"/>
          <w:szCs w:val="24"/>
        </w:rPr>
        <w:t>Despertol</w:t>
      </w:r>
      <w:proofErr w:type="spellEnd"/>
      <w:r w:rsidRPr="00914F08">
        <w:rPr>
          <w:rFonts w:ascii="Arial" w:hAnsi="Arial" w:cs="Arial"/>
          <w:sz w:val="24"/>
          <w:szCs w:val="24"/>
        </w:rPr>
        <w:t>, son utilizados entre 1-3 veces por semana (11,3%).</w:t>
      </w:r>
    </w:p>
    <w:p w14:paraId="26189018" w14:textId="7D2CFF0B" w:rsidR="007201F1"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 xml:space="preserve">Las razones para el consumo son, mejorar el desempeño y </w:t>
      </w:r>
      <w:r w:rsidR="007201F1" w:rsidRPr="00914F08">
        <w:rPr>
          <w:rFonts w:ascii="Arial" w:hAnsi="Arial" w:cs="Arial"/>
          <w:sz w:val="24"/>
          <w:szCs w:val="24"/>
        </w:rPr>
        <w:t>estudiar para</w:t>
      </w:r>
      <w:r w:rsidRPr="00914F08">
        <w:rPr>
          <w:rFonts w:ascii="Arial" w:hAnsi="Arial" w:cs="Arial"/>
          <w:sz w:val="24"/>
          <w:szCs w:val="24"/>
        </w:rPr>
        <w:t xml:space="preserve"> un examen en un 34%; por sobrecarga de trabajo 31% y el 21% por influencia social.</w:t>
      </w:r>
    </w:p>
    <w:p w14:paraId="3B039B52" w14:textId="0A3B9754" w:rsidR="00AE064D" w:rsidRPr="00914F08" w:rsidRDefault="00AE064D" w:rsidP="007201F1">
      <w:pPr>
        <w:spacing w:after="0" w:line="240" w:lineRule="auto"/>
        <w:ind w:firstLine="284"/>
        <w:jc w:val="both"/>
        <w:rPr>
          <w:rFonts w:ascii="Arial" w:hAnsi="Arial" w:cs="Arial"/>
          <w:sz w:val="24"/>
          <w:szCs w:val="24"/>
        </w:rPr>
      </w:pPr>
      <w:r w:rsidRPr="00914F08">
        <w:rPr>
          <w:rFonts w:ascii="Arial" w:hAnsi="Arial" w:cs="Arial"/>
          <w:sz w:val="24"/>
          <w:szCs w:val="24"/>
        </w:rPr>
        <w:t xml:space="preserve">Los  efectos secundarios se dan de acuerdo a la sustancia psicoestimulante consumida, entre los entre se destacan principalmente los psicológicos con un 37%, que son producidos por el consumo de  V220, Red </w:t>
      </w:r>
      <w:proofErr w:type="spellStart"/>
      <w:r w:rsidRPr="00914F08">
        <w:rPr>
          <w:rFonts w:ascii="Arial" w:hAnsi="Arial" w:cs="Arial"/>
          <w:sz w:val="24"/>
          <w:szCs w:val="24"/>
        </w:rPr>
        <w:t>bull</w:t>
      </w:r>
      <w:proofErr w:type="spellEnd"/>
      <w:r w:rsidRPr="00914F08">
        <w:rPr>
          <w:rFonts w:ascii="Arial" w:hAnsi="Arial" w:cs="Arial"/>
          <w:sz w:val="24"/>
          <w:szCs w:val="24"/>
        </w:rPr>
        <w:t xml:space="preserve">, Monster Energy y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los efectos gastrointestinales con porcentaje de 28%, post-consumo de sustancias como V220 y </w:t>
      </w:r>
      <w:proofErr w:type="spellStart"/>
      <w:r w:rsidRPr="00914F08">
        <w:rPr>
          <w:rFonts w:ascii="Arial" w:hAnsi="Arial" w:cs="Arial"/>
          <w:sz w:val="24"/>
          <w:szCs w:val="24"/>
        </w:rPr>
        <w:t>despertol</w:t>
      </w:r>
      <w:proofErr w:type="spellEnd"/>
      <w:r w:rsidRPr="00914F08">
        <w:rPr>
          <w:rFonts w:ascii="Arial" w:hAnsi="Arial" w:cs="Arial"/>
          <w:sz w:val="24"/>
          <w:szCs w:val="24"/>
        </w:rPr>
        <w:t xml:space="preserve">, 22% de efectos </w:t>
      </w:r>
      <w:r w:rsidR="007201F1" w:rsidRPr="00914F08">
        <w:rPr>
          <w:rFonts w:ascii="Arial" w:hAnsi="Arial" w:cs="Arial"/>
          <w:sz w:val="24"/>
          <w:szCs w:val="24"/>
        </w:rPr>
        <w:t>c</w:t>
      </w:r>
      <w:r w:rsidRPr="00914F08">
        <w:rPr>
          <w:rFonts w:ascii="Arial" w:hAnsi="Arial" w:cs="Arial"/>
          <w:sz w:val="24"/>
          <w:szCs w:val="24"/>
        </w:rPr>
        <w:t xml:space="preserve">ardiovasculares  producidos por el consumo de V220 y un 13% de afectación del sueño con  insomnio después de consumir V220, Red </w:t>
      </w:r>
      <w:proofErr w:type="spellStart"/>
      <w:r w:rsidRPr="00914F08">
        <w:rPr>
          <w:rFonts w:ascii="Arial" w:hAnsi="Arial" w:cs="Arial"/>
          <w:sz w:val="24"/>
          <w:szCs w:val="24"/>
        </w:rPr>
        <w:t>bull</w:t>
      </w:r>
      <w:proofErr w:type="spellEnd"/>
      <w:r w:rsidRPr="00914F08">
        <w:rPr>
          <w:rFonts w:ascii="Arial" w:hAnsi="Arial" w:cs="Arial"/>
          <w:sz w:val="24"/>
          <w:szCs w:val="24"/>
        </w:rPr>
        <w:t xml:space="preserve">, Monster Energy y  </w:t>
      </w:r>
      <w:proofErr w:type="spellStart"/>
      <w:r w:rsidRPr="00914F08">
        <w:rPr>
          <w:rFonts w:ascii="Arial" w:hAnsi="Arial" w:cs="Arial"/>
          <w:sz w:val="24"/>
          <w:szCs w:val="24"/>
        </w:rPr>
        <w:t>Alertex</w:t>
      </w:r>
      <w:proofErr w:type="spellEnd"/>
      <w:r w:rsidRPr="00914F08">
        <w:rPr>
          <w:rFonts w:ascii="Arial" w:hAnsi="Arial" w:cs="Arial"/>
          <w:sz w:val="24"/>
          <w:szCs w:val="24"/>
        </w:rPr>
        <w:t xml:space="preserve">. </w:t>
      </w:r>
    </w:p>
    <w:p w14:paraId="2B2920CC" w14:textId="77777777" w:rsidR="008346F9" w:rsidRPr="00914F08" w:rsidRDefault="008346F9" w:rsidP="007201F1">
      <w:pPr>
        <w:spacing w:after="0" w:line="240" w:lineRule="auto"/>
        <w:ind w:firstLine="284"/>
        <w:jc w:val="both"/>
        <w:rPr>
          <w:rFonts w:ascii="Arial" w:hAnsi="Arial" w:cs="Arial"/>
          <w:sz w:val="24"/>
          <w:szCs w:val="24"/>
        </w:rPr>
      </w:pPr>
    </w:p>
    <w:sdt>
      <w:sdtPr>
        <w:rPr>
          <w:rFonts w:ascii="Arial" w:eastAsiaTheme="minorHAnsi" w:hAnsi="Arial" w:cs="Arial"/>
          <w:b w:val="0"/>
          <w:sz w:val="24"/>
          <w:szCs w:val="24"/>
          <w:lang w:val="es-ES"/>
        </w:rPr>
        <w:id w:val="-428269402"/>
        <w:docPartObj>
          <w:docPartGallery w:val="Bibliographies"/>
          <w:docPartUnique/>
        </w:docPartObj>
      </w:sdtPr>
      <w:sdtEndPr>
        <w:rPr>
          <w:sz w:val="22"/>
        </w:rPr>
      </w:sdtEndPr>
      <w:sdtContent>
        <w:p w14:paraId="146A673E" w14:textId="7F89D934" w:rsidR="00AE064D" w:rsidRPr="00914F08" w:rsidRDefault="008346F9" w:rsidP="00AE064D">
          <w:pPr>
            <w:pStyle w:val="Ttulo1"/>
            <w:spacing w:line="240" w:lineRule="auto"/>
            <w:jc w:val="both"/>
            <w:rPr>
              <w:rFonts w:ascii="Arial" w:hAnsi="Arial" w:cs="Arial"/>
              <w:sz w:val="24"/>
              <w:szCs w:val="24"/>
              <w:lang w:val="es-ES"/>
            </w:rPr>
          </w:pPr>
          <w:r w:rsidRPr="00914F08">
            <w:rPr>
              <w:rFonts w:ascii="Arial" w:hAnsi="Arial" w:cs="Arial"/>
              <w:sz w:val="24"/>
              <w:szCs w:val="24"/>
              <w:lang w:val="es-ES"/>
            </w:rPr>
            <w:t>BIBLIOGRAFÍA</w:t>
          </w:r>
        </w:p>
        <w:p w14:paraId="665E9766" w14:textId="77777777" w:rsidR="008346F9" w:rsidRPr="008346F9" w:rsidRDefault="008346F9" w:rsidP="008346F9">
          <w:pPr>
            <w:pStyle w:val="Ttulo2"/>
          </w:pPr>
        </w:p>
        <w:sdt>
          <w:sdtPr>
            <w:rPr>
              <w:rFonts w:ascii="A}" w:eastAsiaTheme="minorHAnsi" w:hAnsi="A}" w:cs="Arial"/>
              <w:sz w:val="20"/>
              <w:szCs w:val="20"/>
              <w:lang w:val="es-ES"/>
            </w:rPr>
            <w:id w:val="111145805"/>
            <w:bibliography/>
          </w:sdtPr>
          <w:sdtEndPr>
            <w:rPr>
              <w:rFonts w:ascii="Arial" w:hAnsi="Arial"/>
              <w:sz w:val="22"/>
              <w:szCs w:val="24"/>
            </w:rPr>
          </w:sdtEndPr>
          <w:sdtContent>
            <w:p w14:paraId="2F2CA1EA" w14:textId="77777777" w:rsidR="007201F1" w:rsidRPr="007201F1" w:rsidRDefault="00AE064D" w:rsidP="004016D7">
              <w:pPr>
                <w:pStyle w:val="Bibliografa"/>
                <w:spacing w:line="240" w:lineRule="auto"/>
                <w:ind w:left="720" w:hanging="720"/>
                <w:rPr>
                  <w:rFonts w:ascii="A}" w:hAnsi="A}"/>
                  <w:noProof/>
                  <w:sz w:val="20"/>
                  <w:szCs w:val="20"/>
                  <w:lang w:val="es-ES"/>
                </w:rPr>
              </w:pPr>
              <w:r w:rsidRPr="007201F1">
                <w:rPr>
                  <w:rFonts w:ascii="A}" w:hAnsi="A}" w:cs="Arial"/>
                  <w:sz w:val="20"/>
                  <w:szCs w:val="20"/>
                </w:rPr>
                <w:fldChar w:fldCharType="begin"/>
              </w:r>
              <w:r w:rsidRPr="007201F1">
                <w:rPr>
                  <w:rFonts w:ascii="A}" w:hAnsi="A}" w:cs="Arial"/>
                  <w:sz w:val="20"/>
                  <w:szCs w:val="20"/>
                </w:rPr>
                <w:instrText>BIBLIOGRAPHY</w:instrText>
              </w:r>
              <w:r w:rsidRPr="007201F1">
                <w:rPr>
                  <w:rFonts w:ascii="A}" w:hAnsi="A}" w:cs="Arial"/>
                  <w:sz w:val="20"/>
                  <w:szCs w:val="20"/>
                </w:rPr>
                <w:fldChar w:fldCharType="separate"/>
              </w:r>
              <w:r w:rsidR="007201F1" w:rsidRPr="007201F1">
                <w:rPr>
                  <w:rFonts w:ascii="A}" w:hAnsi="A}"/>
                  <w:noProof/>
                  <w:sz w:val="20"/>
                  <w:szCs w:val="20"/>
                  <w:lang w:val="es-ES"/>
                </w:rPr>
                <w:t xml:space="preserve">Moreno, M., Corraliza, J., &amp; Ruíz, J. (2005). Escala de actitudes ambientales hacia problemas específicos. </w:t>
              </w:r>
              <w:r w:rsidR="007201F1" w:rsidRPr="007201F1">
                <w:rPr>
                  <w:rFonts w:ascii="A}" w:hAnsi="A}"/>
                  <w:i/>
                  <w:iCs/>
                  <w:noProof/>
                  <w:sz w:val="20"/>
                  <w:szCs w:val="20"/>
                  <w:lang w:val="es-ES"/>
                </w:rPr>
                <w:t>Psicothema, 17</w:t>
              </w:r>
              <w:r w:rsidR="007201F1" w:rsidRPr="007201F1">
                <w:rPr>
                  <w:rFonts w:ascii="A}" w:hAnsi="A}"/>
                  <w:noProof/>
                  <w:sz w:val="20"/>
                  <w:szCs w:val="20"/>
                  <w:lang w:val="es-ES"/>
                </w:rPr>
                <w:t>(3), 502-508.</w:t>
              </w:r>
            </w:p>
            <w:p w14:paraId="5E4C6320"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(Mayo-Agosto de 2012). </w:t>
              </w:r>
              <w:r w:rsidRPr="007201F1">
                <w:rPr>
                  <w:rFonts w:ascii="A}" w:hAnsi="A}"/>
                  <w:i/>
                  <w:iCs/>
                  <w:noProof/>
                  <w:sz w:val="20"/>
                  <w:szCs w:val="20"/>
                  <w:lang w:val="es-ES"/>
                </w:rPr>
                <w:t>PROFESORADO, Revista de currículum y formación del profesorado, 16</w:t>
              </w:r>
              <w:r w:rsidRPr="007201F1">
                <w:rPr>
                  <w:rFonts w:ascii="A}" w:hAnsi="A}"/>
                  <w:noProof/>
                  <w:sz w:val="20"/>
                  <w:szCs w:val="20"/>
                  <w:lang w:val="es-ES"/>
                </w:rPr>
                <w:t>(2).</w:t>
              </w:r>
            </w:p>
            <w:p w14:paraId="3383A9A7"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Aguilar Luzón, M., &amp; Monteoliva Sánchez, A. (1 de junio de 2005). Influencia de las normas, los valores, las creencias proambientales y la conducta pasada sobre la intención de reciclar. </w:t>
              </w:r>
              <w:r w:rsidRPr="007201F1">
                <w:rPr>
                  <w:rFonts w:ascii="A}" w:hAnsi="A}"/>
                  <w:i/>
                  <w:iCs/>
                  <w:noProof/>
                  <w:sz w:val="20"/>
                  <w:szCs w:val="20"/>
                  <w:lang w:val="es-ES"/>
                </w:rPr>
                <w:t>Modo Ambiente y Comportamiento Humano</w:t>
              </w:r>
              <w:r w:rsidRPr="007201F1">
                <w:rPr>
                  <w:rFonts w:ascii="A}" w:hAnsi="A}"/>
                  <w:noProof/>
                  <w:sz w:val="20"/>
                  <w:szCs w:val="20"/>
                  <w:lang w:val="es-ES"/>
                </w:rPr>
                <w:t>, 23-36.</w:t>
              </w:r>
            </w:p>
            <w:p w14:paraId="5D103C24" w14:textId="77777777" w:rsidR="007201F1" w:rsidRPr="00CC2BB3" w:rsidRDefault="007201F1" w:rsidP="004016D7">
              <w:pPr>
                <w:pStyle w:val="Bibliografa"/>
                <w:spacing w:line="240" w:lineRule="auto"/>
                <w:ind w:left="720" w:hanging="720"/>
                <w:rPr>
                  <w:rFonts w:ascii="Arial" w:hAnsi="Arial" w:cs="Arial"/>
                  <w:noProof/>
                  <w:sz w:val="20"/>
                  <w:szCs w:val="20"/>
                  <w:lang w:val="en-US"/>
                </w:rPr>
              </w:pPr>
              <w:r w:rsidRPr="007201F1">
                <w:rPr>
                  <w:rFonts w:ascii="A}" w:hAnsi="A}"/>
                  <w:noProof/>
                  <w:sz w:val="20"/>
                  <w:szCs w:val="20"/>
                  <w:lang w:val="es-ES"/>
                </w:rPr>
                <w:lastRenderedPageBreak/>
                <w:t xml:space="preserve">Aguilar, M. M. (2005). Aguilar, M., Monteoliva, , A., &amp; GarInfluencia de las normas, los valores, las creencias proambientales y la conducta basada sobre la intencióm de reciclar. </w:t>
              </w:r>
              <w:r w:rsidRPr="00CC2BB3">
                <w:rPr>
                  <w:rFonts w:ascii="A}" w:hAnsi="A}"/>
                  <w:i/>
                  <w:iCs/>
                  <w:noProof/>
                  <w:sz w:val="20"/>
                  <w:szCs w:val="20"/>
                  <w:lang w:val="en-US"/>
                </w:rPr>
                <w:t>Medioambiente y Comportamiento humano, 6</w:t>
              </w:r>
              <w:r w:rsidRPr="00CC2BB3">
                <w:rPr>
                  <w:rFonts w:ascii="A}" w:hAnsi="A}"/>
                  <w:noProof/>
                  <w:sz w:val="20"/>
                  <w:szCs w:val="20"/>
                  <w:lang w:val="en-US"/>
                </w:rPr>
                <w:t>(1).</w:t>
              </w:r>
            </w:p>
            <w:p w14:paraId="52E00E10" w14:textId="77777777" w:rsidR="007201F1" w:rsidRPr="007201F1" w:rsidRDefault="007201F1" w:rsidP="004016D7">
              <w:pPr>
                <w:pStyle w:val="Bibliografa"/>
                <w:spacing w:line="240" w:lineRule="auto"/>
                <w:ind w:left="720" w:hanging="720"/>
                <w:rPr>
                  <w:rFonts w:ascii="A}" w:hAnsi="A}"/>
                  <w:noProof/>
                  <w:sz w:val="20"/>
                  <w:szCs w:val="20"/>
                  <w:lang w:val="es-ES"/>
                </w:rPr>
              </w:pPr>
              <w:r w:rsidRPr="00CC2BB3">
                <w:rPr>
                  <w:rFonts w:ascii="A}" w:hAnsi="A}"/>
                  <w:noProof/>
                  <w:sz w:val="20"/>
                  <w:szCs w:val="20"/>
                  <w:lang w:val="en-US"/>
                </w:rPr>
                <w:t xml:space="preserve">Aikenhead, G. S. (1985). </w:t>
              </w:r>
              <w:r w:rsidRPr="00CC2BB3">
                <w:rPr>
                  <w:rFonts w:ascii="A}" w:hAnsi="A}"/>
                  <w:i/>
                  <w:iCs/>
                  <w:noProof/>
                  <w:sz w:val="20"/>
                  <w:szCs w:val="20"/>
                  <w:lang w:val="en-US"/>
                </w:rPr>
                <w:t>Collective decision making in the social context of science.</w:t>
              </w:r>
              <w:r w:rsidRPr="00CC2BB3">
                <w:rPr>
                  <w:rFonts w:ascii="A}" w:hAnsi="A}"/>
                  <w:noProof/>
                  <w:sz w:val="20"/>
                  <w:szCs w:val="20"/>
                  <w:lang w:val="en-US"/>
                </w:rPr>
                <w:t xml:space="preserve"> </w:t>
              </w:r>
              <w:r w:rsidRPr="007201F1">
                <w:rPr>
                  <w:rFonts w:ascii="A}" w:hAnsi="A}"/>
                  <w:noProof/>
                  <w:sz w:val="20"/>
                  <w:szCs w:val="20"/>
                  <w:lang w:val="es-ES"/>
                </w:rPr>
                <w:t>Obtenido de http://quimicageneralpapimeunam.org.mx/Acceso_alumnos_archivos/Educacion_para_desarrollo.htm</w:t>
              </w:r>
            </w:p>
            <w:p w14:paraId="7888659C"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ASAMBLEA CONSTITUYENTE. (2008). Conswtitución de la República del Ecuador. Montecristi- Manabí.</w:t>
              </w:r>
            </w:p>
            <w:p w14:paraId="23AEFDCC"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Ato García, M. (2011). </w:t>
              </w:r>
              <w:r w:rsidRPr="007201F1">
                <w:rPr>
                  <w:rFonts w:ascii="A}" w:hAnsi="A}"/>
                  <w:i/>
                  <w:iCs/>
                  <w:noProof/>
                  <w:sz w:val="20"/>
                  <w:szCs w:val="20"/>
                  <w:lang w:val="es-ES"/>
                </w:rPr>
                <w:t>Metodología de la Investigación.</w:t>
              </w:r>
              <w:r w:rsidRPr="007201F1">
                <w:rPr>
                  <w:rFonts w:ascii="A}" w:hAnsi="A}"/>
                  <w:noProof/>
                  <w:sz w:val="20"/>
                  <w:szCs w:val="20"/>
                  <w:lang w:val="es-ES"/>
                </w:rPr>
                <w:t xml:space="preserve"> Murcia: Editum. Ediciones de la Universidad de Murcia.</w:t>
              </w:r>
            </w:p>
            <w:p w14:paraId="0B4B32C9"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Autores principales del curriculum . (23 de Junio de 2010). </w:t>
              </w:r>
              <w:r w:rsidRPr="007201F1">
                <w:rPr>
                  <w:rFonts w:ascii="A}" w:hAnsi="A}"/>
                  <w:i/>
                  <w:iCs/>
                  <w:noProof/>
                  <w:sz w:val="20"/>
                  <w:szCs w:val="20"/>
                  <w:lang w:val="es-ES"/>
                </w:rPr>
                <w:t>Introducción al Diseño Curricular</w:t>
              </w:r>
              <w:r w:rsidRPr="007201F1">
                <w:rPr>
                  <w:rFonts w:ascii="A}" w:hAnsi="A}"/>
                  <w:noProof/>
                  <w:sz w:val="20"/>
                  <w:szCs w:val="20"/>
                  <w:lang w:val="es-ES"/>
                </w:rPr>
                <w:t>. Obtenido de http://ugmdisenocurricular.blogspot.com/2010/06/introduccion-al-diseno-curricular.html</w:t>
              </w:r>
            </w:p>
            <w:p w14:paraId="5EE7FAEC"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Aznar Minguet, P. (2009). La formación de competencias para el desarrollo sostenible: el papel de la Universidad. </w:t>
              </w:r>
              <w:r w:rsidRPr="007201F1">
                <w:rPr>
                  <w:rFonts w:ascii="A}" w:hAnsi="A}"/>
                  <w:i/>
                  <w:iCs/>
                  <w:noProof/>
                  <w:sz w:val="20"/>
                  <w:szCs w:val="20"/>
                  <w:lang w:val="es-ES"/>
                </w:rPr>
                <w:t>Revista de Educación</w:t>
              </w:r>
              <w:r w:rsidRPr="007201F1">
                <w:rPr>
                  <w:rFonts w:ascii="A}" w:hAnsi="A}"/>
                  <w:noProof/>
                  <w:sz w:val="20"/>
                  <w:szCs w:val="20"/>
                  <w:lang w:val="es-ES"/>
                </w:rPr>
                <w:t>, 323.</w:t>
              </w:r>
            </w:p>
            <w:p w14:paraId="04920887"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Biodiversidad Mexicana. (2016). </w:t>
              </w:r>
              <w:r w:rsidRPr="007201F1">
                <w:rPr>
                  <w:rFonts w:ascii="A}" w:hAnsi="A}"/>
                  <w:i/>
                  <w:iCs/>
                  <w:noProof/>
                  <w:sz w:val="20"/>
                  <w:szCs w:val="20"/>
                  <w:lang w:val="es-ES"/>
                </w:rPr>
                <w:t>Comisión Nacional para el conocimiento y el uso de la Biodiversidad</w:t>
              </w:r>
              <w:r w:rsidRPr="007201F1">
                <w:rPr>
                  <w:rFonts w:ascii="A}" w:hAnsi="A}"/>
                  <w:noProof/>
                  <w:sz w:val="20"/>
                  <w:szCs w:val="20"/>
                  <w:lang w:val="es-ES"/>
                </w:rPr>
                <w:t>. Recuperado el 22 de Enero de 2017, de http://www.biodiversidad.gob.mx/planeta/quees.html</w:t>
              </w:r>
            </w:p>
            <w:p w14:paraId="715DDFE2"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Carcanholo, R. (s/f). Obtenido de Mercancía y valor-trabajo: Guía de Lectura de Marx: http://www.lahaine.org/amauta/b2-img/carcanoholo_merc.pdf</w:t>
              </w:r>
            </w:p>
            <w:p w14:paraId="3962CDD3"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i/>
                  <w:iCs/>
                  <w:noProof/>
                  <w:sz w:val="20"/>
                  <w:szCs w:val="20"/>
                  <w:lang w:val="es-ES"/>
                </w:rPr>
                <w:t>Carta Mundial de la Naturaleza</w:t>
              </w:r>
              <w:r w:rsidRPr="007201F1">
                <w:rPr>
                  <w:rFonts w:ascii="A}" w:hAnsi="A}"/>
                  <w:noProof/>
                  <w:sz w:val="20"/>
                  <w:szCs w:val="20"/>
                  <w:lang w:val="es-ES"/>
                </w:rPr>
                <w:t>. (28 de Octubre de 1982). Recuperado el 30 de abril de 2016, de ASAMBLEA GENERAL DE LAS NACIONES UNIDAS: http://www.jmarcano.com/educa/docs/carta_mundial.html</w:t>
              </w:r>
            </w:p>
            <w:p w14:paraId="1E7EE0B6"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Carvo, G. (2006). </w:t>
              </w:r>
              <w:r w:rsidRPr="007201F1">
                <w:rPr>
                  <w:rFonts w:ascii="A}" w:hAnsi="A}"/>
                  <w:i/>
                  <w:iCs/>
                  <w:noProof/>
                  <w:sz w:val="20"/>
                  <w:szCs w:val="20"/>
                  <w:lang w:val="es-ES"/>
                </w:rPr>
                <w:t>Revista Ibveroamerica de Educación</w:t>
              </w:r>
              <w:r w:rsidRPr="007201F1">
                <w:rPr>
                  <w:rFonts w:ascii="A}" w:hAnsi="A}"/>
                  <w:noProof/>
                  <w:sz w:val="20"/>
                  <w:szCs w:val="20"/>
                  <w:lang w:val="es-ES"/>
                </w:rPr>
                <w:t>(40), 25-69.</w:t>
              </w:r>
            </w:p>
            <w:p w14:paraId="047F5D6B"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Castanedo, S. C. (1995). Escala para la evaluación de las actitudes pro- ambientales EAPA, de alumnos universitarios. </w:t>
              </w:r>
              <w:r w:rsidRPr="007201F1">
                <w:rPr>
                  <w:rFonts w:ascii="A}" w:hAnsi="A}"/>
                  <w:i/>
                  <w:iCs/>
                  <w:noProof/>
                  <w:sz w:val="20"/>
                  <w:szCs w:val="20"/>
                  <w:lang w:val="es-ES"/>
                </w:rPr>
                <w:t>Revista Complutense de Educación, 6</w:t>
              </w:r>
              <w:r w:rsidRPr="007201F1">
                <w:rPr>
                  <w:rFonts w:ascii="A}" w:hAnsi="A}"/>
                  <w:noProof/>
                  <w:sz w:val="20"/>
                  <w:szCs w:val="20"/>
                  <w:lang w:val="es-ES"/>
                </w:rPr>
                <w:t>(2).</w:t>
              </w:r>
            </w:p>
            <w:p w14:paraId="252F874C"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Cortés , L. (2012). </w:t>
              </w:r>
              <w:r w:rsidRPr="007201F1">
                <w:rPr>
                  <w:rFonts w:ascii="A}" w:hAnsi="A}"/>
                  <w:i/>
                  <w:iCs/>
                  <w:noProof/>
                  <w:sz w:val="20"/>
                  <w:szCs w:val="20"/>
                  <w:lang w:val="es-ES"/>
                </w:rPr>
                <w:t>Primeras aproximaciones para un concepto de educación en el tercer milenio</w:t>
              </w:r>
              <w:r w:rsidRPr="007201F1">
                <w:rPr>
                  <w:rFonts w:ascii="A}" w:hAnsi="A}"/>
                  <w:noProof/>
                  <w:sz w:val="20"/>
                  <w:szCs w:val="20"/>
                  <w:lang w:val="es-ES"/>
                </w:rPr>
                <w:t>. Obtenido de http://letras-uruguay.espaciolatino.com/aaa/cortes_lutz_guillermo/primeras_aproximaciones_para_un_concepto_de_educacion.htm</w:t>
              </w:r>
            </w:p>
            <w:p w14:paraId="2B6635A5"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Fernández , A. (2010). </w:t>
              </w:r>
              <w:r w:rsidRPr="007201F1">
                <w:rPr>
                  <w:rFonts w:ascii="A}" w:hAnsi="A}"/>
                  <w:i/>
                  <w:iCs/>
                  <w:noProof/>
                  <w:sz w:val="20"/>
                  <w:szCs w:val="20"/>
                  <w:lang w:val="es-ES"/>
                </w:rPr>
                <w:t>Universidad y Currículo en Venezuela, Hacia el Tercer Milenio.</w:t>
              </w:r>
              <w:r w:rsidRPr="007201F1">
                <w:rPr>
                  <w:rFonts w:ascii="A}" w:hAnsi="A}"/>
                  <w:noProof/>
                  <w:sz w:val="20"/>
                  <w:szCs w:val="20"/>
                  <w:lang w:val="es-ES"/>
                </w:rPr>
                <w:t xml:space="preserve"> (U. C. Venezuela, Ed.) Caracas, Venezuela.</w:t>
              </w:r>
            </w:p>
            <w:p w14:paraId="0B24B5EA"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Fernández, A. (2010). Universidad y Currículo en Venezuela: Hacia el Tercer Milenio. CEP- FHE.</w:t>
              </w:r>
            </w:p>
            <w:p w14:paraId="1A63839D"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Frega, A. (2003). </w:t>
              </w:r>
              <w:r w:rsidRPr="007201F1">
                <w:rPr>
                  <w:rFonts w:ascii="A}" w:hAnsi="A}"/>
                  <w:i/>
                  <w:iCs/>
                  <w:noProof/>
                  <w:sz w:val="20"/>
                  <w:szCs w:val="20"/>
                  <w:lang w:val="es-ES"/>
                </w:rPr>
                <w:t>Arte, Música, Educación e Interdsiciplinariedad</w:t>
              </w:r>
              <w:r w:rsidRPr="007201F1">
                <w:rPr>
                  <w:rFonts w:ascii="A}" w:hAnsi="A}"/>
                  <w:noProof/>
                  <w:sz w:val="20"/>
                  <w:szCs w:val="20"/>
                  <w:lang w:val="es-ES"/>
                </w:rPr>
                <w:t>. Obtenido de www.musicaclasicaargentina.com</w:t>
              </w:r>
            </w:p>
            <w:p w14:paraId="76BCDAF3"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FREGA, A. (2003). </w:t>
              </w:r>
              <w:r w:rsidRPr="007201F1">
                <w:rPr>
                  <w:rFonts w:ascii="A}" w:hAnsi="A}"/>
                  <w:i/>
                  <w:iCs/>
                  <w:noProof/>
                  <w:sz w:val="20"/>
                  <w:szCs w:val="20"/>
                  <w:lang w:val="es-ES"/>
                </w:rPr>
                <w:t>Arte, Música, Educación e Interdsiciplinariedad</w:t>
              </w:r>
              <w:r w:rsidRPr="007201F1">
                <w:rPr>
                  <w:rFonts w:ascii="A}" w:hAnsi="A}"/>
                  <w:noProof/>
                  <w:sz w:val="20"/>
                  <w:szCs w:val="20"/>
                  <w:lang w:val="es-ES"/>
                </w:rPr>
                <w:t>. Obtenido de www.musicaclasicaargentina.com</w:t>
              </w:r>
            </w:p>
            <w:p w14:paraId="46288FF7"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FUNIBER. (2012). </w:t>
              </w:r>
              <w:r w:rsidRPr="007201F1">
                <w:rPr>
                  <w:rFonts w:ascii="A}" w:hAnsi="A}"/>
                  <w:i/>
                  <w:iCs/>
                  <w:noProof/>
                  <w:sz w:val="20"/>
                  <w:szCs w:val="20"/>
                  <w:lang w:val="es-ES"/>
                </w:rPr>
                <w:t>La Educación Ambiental en la Educación Formal.</w:t>
              </w:r>
              <w:r w:rsidRPr="007201F1">
                <w:rPr>
                  <w:rFonts w:ascii="A}" w:hAnsi="A}"/>
                  <w:noProof/>
                  <w:sz w:val="20"/>
                  <w:szCs w:val="20"/>
                  <w:lang w:val="es-ES"/>
                </w:rPr>
                <w:t xml:space="preserve"> Florianápolis: Fundación Universitaria Iberoamericana.</w:t>
              </w:r>
            </w:p>
            <w:p w14:paraId="1D27E1F5"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HERNÁNDEZ SAMPIERI, R. (2014). METODOLOGÍA DE LA INVESTIGACIÓN. México. DF: Mac Graw Hill.</w:t>
              </w:r>
            </w:p>
            <w:p w14:paraId="1E1424B6"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Hernández Sampieri, R., Fernández Collado Carlos, &amp; Batista Lucio Pilar. (2014). Metodología de la Investigación. México D.F, México: McGraw Hill.</w:t>
              </w:r>
            </w:p>
            <w:p w14:paraId="05D11025"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LÓPEZ, R. (2005). </w:t>
              </w:r>
              <w:r w:rsidRPr="007201F1">
                <w:rPr>
                  <w:rFonts w:ascii="A}" w:hAnsi="A}"/>
                  <w:i/>
                  <w:iCs/>
                  <w:noProof/>
                  <w:sz w:val="20"/>
                  <w:szCs w:val="20"/>
                  <w:lang w:val="es-ES"/>
                </w:rPr>
                <w:t>Construir el currículum global. Otra enseñanza de la sociedad del conocimiento.</w:t>
              </w:r>
              <w:r w:rsidRPr="007201F1">
                <w:rPr>
                  <w:rFonts w:ascii="A}" w:hAnsi="A}"/>
                  <w:noProof/>
                  <w:sz w:val="20"/>
                  <w:szCs w:val="20"/>
                  <w:lang w:val="es-ES"/>
                </w:rPr>
                <w:t>, Archidona: Aljibe.</w:t>
              </w:r>
            </w:p>
            <w:p w14:paraId="40650D7E"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Macedo, B. (2005). </w:t>
              </w:r>
              <w:r w:rsidRPr="007201F1">
                <w:rPr>
                  <w:rFonts w:ascii="A}" w:hAnsi="A}"/>
                  <w:i/>
                  <w:iCs/>
                  <w:noProof/>
                  <w:sz w:val="20"/>
                  <w:szCs w:val="20"/>
                  <w:lang w:val="es-ES"/>
                </w:rPr>
                <w:t>UNESCO</w:t>
              </w:r>
              <w:r w:rsidRPr="007201F1">
                <w:rPr>
                  <w:rFonts w:ascii="A}" w:hAnsi="A}"/>
                  <w:noProof/>
                  <w:sz w:val="20"/>
                  <w:szCs w:val="20"/>
                  <w:lang w:val="es-ES"/>
                </w:rPr>
                <w:t>. Obtenido de El concepto de sostenibilidad: http://unesdoc.unesco.org/images/0016/001621/162177s.pdf</w:t>
              </w:r>
            </w:p>
            <w:p w14:paraId="7FC3817F"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Mankiw, G. (1998). </w:t>
              </w:r>
              <w:r w:rsidRPr="007201F1">
                <w:rPr>
                  <w:rFonts w:ascii="A}" w:hAnsi="A}"/>
                  <w:i/>
                  <w:iCs/>
                  <w:noProof/>
                  <w:sz w:val="20"/>
                  <w:szCs w:val="20"/>
                  <w:lang w:val="es-ES"/>
                </w:rPr>
                <w:t>Principios de economía.</w:t>
              </w:r>
              <w:r w:rsidRPr="007201F1">
                <w:rPr>
                  <w:rFonts w:ascii="A}" w:hAnsi="A}"/>
                  <w:noProof/>
                  <w:sz w:val="20"/>
                  <w:szCs w:val="20"/>
                  <w:lang w:val="es-ES"/>
                </w:rPr>
                <w:t xml:space="preserve"> España: Ed. Mac Graw Hill.</w:t>
              </w:r>
            </w:p>
            <w:p w14:paraId="0A4BE677"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Maricarmen Grisolia Cardona. (2008). </w:t>
              </w:r>
              <w:r w:rsidRPr="007201F1">
                <w:rPr>
                  <w:rFonts w:ascii="A}" w:hAnsi="A}"/>
                  <w:i/>
                  <w:iCs/>
                  <w:noProof/>
                  <w:sz w:val="20"/>
                  <w:szCs w:val="20"/>
                  <w:lang w:val="es-ES"/>
                </w:rPr>
                <w:t>La Interdisciplinariedad en la Enseñanza de las Ciencias</w:t>
              </w:r>
              <w:r w:rsidRPr="007201F1">
                <w:rPr>
                  <w:rFonts w:ascii="A}" w:hAnsi="A}"/>
                  <w:noProof/>
                  <w:sz w:val="20"/>
                  <w:szCs w:val="20"/>
                  <w:lang w:val="es-ES"/>
                </w:rPr>
                <w:t>. Obtenido de http://webdelprofesor.ula.ve/humanidades/marygri/documents/PPD/Interdisciplinariedad.pdf</w:t>
              </w:r>
            </w:p>
            <w:p w14:paraId="1CD52A7D"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Martínez Castillo, R. (28 de Mayo de 2012). </w:t>
              </w:r>
              <w:r w:rsidRPr="007201F1">
                <w:rPr>
                  <w:rFonts w:ascii="A}" w:hAnsi="A}"/>
                  <w:i/>
                  <w:iCs/>
                  <w:noProof/>
                  <w:sz w:val="20"/>
                  <w:szCs w:val="20"/>
                  <w:lang w:val="es-ES"/>
                </w:rPr>
                <w:t>Revista Electrónica- Diálogos Educativos</w:t>
              </w:r>
              <w:r w:rsidRPr="007201F1">
                <w:rPr>
                  <w:rFonts w:ascii="A}" w:hAnsi="A}"/>
                  <w:noProof/>
                  <w:sz w:val="20"/>
                  <w:szCs w:val="20"/>
                  <w:lang w:val="es-ES"/>
                </w:rPr>
                <w:t>(24). Obtenido de Dialnet-EnsayoCriticoSobreEducacionAmbiental-4156233.pdf</w:t>
              </w:r>
            </w:p>
            <w:p w14:paraId="38CBCD49"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Martínez Jonathan. (2012). Psicología Ambiental.</w:t>
              </w:r>
            </w:p>
            <w:p w14:paraId="7D8F351E"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Marx, K. (2005). </w:t>
              </w:r>
              <w:r w:rsidRPr="007201F1">
                <w:rPr>
                  <w:rFonts w:ascii="A}" w:hAnsi="A}"/>
                  <w:i/>
                  <w:iCs/>
                  <w:noProof/>
                  <w:sz w:val="20"/>
                  <w:szCs w:val="20"/>
                  <w:lang w:val="es-ES"/>
                </w:rPr>
                <w:t>El Capital tomo I .</w:t>
              </w:r>
              <w:r w:rsidRPr="007201F1">
                <w:rPr>
                  <w:rFonts w:ascii="A}" w:hAnsi="A}"/>
                  <w:noProof/>
                  <w:sz w:val="20"/>
                  <w:szCs w:val="20"/>
                  <w:lang w:val="es-ES"/>
                </w:rPr>
                <w:t xml:space="preserve"> México: Siglo xxi Editores.</w:t>
              </w:r>
            </w:p>
            <w:p w14:paraId="79F5CAAA"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lastRenderedPageBreak/>
                <w:t xml:space="preserve">Mckeown, R. (2002). </w:t>
              </w:r>
              <w:r w:rsidRPr="007201F1">
                <w:rPr>
                  <w:rFonts w:ascii="A}" w:hAnsi="A}"/>
                  <w:i/>
                  <w:iCs/>
                  <w:noProof/>
                  <w:sz w:val="20"/>
                  <w:szCs w:val="20"/>
                  <w:lang w:val="es-ES"/>
                </w:rPr>
                <w:t>Manual de Educación Ambiental para el Desarrollo Sostenible.</w:t>
              </w:r>
              <w:r w:rsidRPr="007201F1">
                <w:rPr>
                  <w:rFonts w:ascii="A}" w:hAnsi="A}"/>
                  <w:noProof/>
                  <w:sz w:val="20"/>
                  <w:szCs w:val="20"/>
                  <w:lang w:val="es-ES"/>
                </w:rPr>
                <w:t xml:space="preserve"> Knoxville, U.S.A: Centro de Energía, Medio Ambiente y Recursos, universidad de Tennessee.</w:t>
              </w:r>
            </w:p>
            <w:p w14:paraId="656CC4E1"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Ministerio de Educación. (2016). </w:t>
              </w:r>
              <w:r w:rsidRPr="007201F1">
                <w:rPr>
                  <w:rFonts w:ascii="A}" w:hAnsi="A}"/>
                  <w:i/>
                  <w:iCs/>
                  <w:noProof/>
                  <w:sz w:val="20"/>
                  <w:szCs w:val="20"/>
                  <w:lang w:val="es-ES"/>
                </w:rPr>
                <w:t>Currículo</w:t>
              </w:r>
              <w:r w:rsidRPr="007201F1">
                <w:rPr>
                  <w:rFonts w:ascii="A}" w:hAnsi="A}"/>
                  <w:noProof/>
                  <w:sz w:val="20"/>
                  <w:szCs w:val="20"/>
                  <w:lang w:val="es-ES"/>
                </w:rPr>
                <w:t>. Obtenido de https://educacion.gob.ec/curriculo/</w:t>
              </w:r>
            </w:p>
            <w:p w14:paraId="18C9E5F3"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MINISTERIO DEL AMBIENTE. (2016). </w:t>
              </w:r>
              <w:r w:rsidRPr="007201F1">
                <w:rPr>
                  <w:rFonts w:ascii="A}" w:hAnsi="A}"/>
                  <w:i/>
                  <w:iCs/>
                  <w:noProof/>
                  <w:sz w:val="20"/>
                  <w:szCs w:val="20"/>
                  <w:lang w:val="es-ES"/>
                </w:rPr>
                <w:t>Diagnóstico sobre la inclusión de Consideraciones Ambientales y de Sostenibilidad en las Universidades del Ecuador- Primera fase.</w:t>
              </w:r>
              <w:r w:rsidRPr="007201F1">
                <w:rPr>
                  <w:rFonts w:ascii="A}" w:hAnsi="A}"/>
                  <w:noProof/>
                  <w:sz w:val="20"/>
                  <w:szCs w:val="20"/>
                  <w:lang w:val="es-ES"/>
                </w:rPr>
                <w:t xml:space="preserve"> Resumen Ejecutivo, Quito.</w:t>
              </w:r>
            </w:p>
            <w:p w14:paraId="14875892"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Miranda Murillo, L. (Diciembre de 2013). Cultura ambiental: un estudio desde las dimensiones de valor, creencias, actitudes y comportamiento ambientales. </w:t>
              </w:r>
              <w:r w:rsidRPr="007201F1">
                <w:rPr>
                  <w:rFonts w:ascii="A}" w:hAnsi="A}"/>
                  <w:i/>
                  <w:iCs/>
                  <w:noProof/>
                  <w:sz w:val="20"/>
                  <w:szCs w:val="20"/>
                  <w:lang w:val="es-ES"/>
                </w:rPr>
                <w:t>8</w:t>
              </w:r>
              <w:r w:rsidRPr="007201F1">
                <w:rPr>
                  <w:rFonts w:ascii="A}" w:hAnsi="A}"/>
                  <w:noProof/>
                  <w:sz w:val="20"/>
                  <w:szCs w:val="20"/>
                  <w:lang w:val="es-ES"/>
                </w:rPr>
                <w:t>(2).</w:t>
              </w:r>
            </w:p>
            <w:p w14:paraId="275DA2D8"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Moraes, M. (2010). Transdisciplinariedad y educación. (I. p. Freire, Ed.) </w:t>
              </w:r>
              <w:r w:rsidRPr="007201F1">
                <w:rPr>
                  <w:rFonts w:ascii="A}" w:hAnsi="A}"/>
                  <w:i/>
                  <w:iCs/>
                  <w:noProof/>
                  <w:sz w:val="20"/>
                  <w:szCs w:val="20"/>
                  <w:lang w:val="es-ES"/>
                </w:rPr>
                <w:t>rizomafreireano, 6</w:t>
              </w:r>
              <w:r w:rsidRPr="007201F1">
                <w:rPr>
                  <w:rFonts w:ascii="A}" w:hAnsi="A}"/>
                  <w:noProof/>
                  <w:sz w:val="20"/>
                  <w:szCs w:val="20"/>
                  <w:lang w:val="es-ES"/>
                </w:rPr>
                <w:t>.</w:t>
              </w:r>
            </w:p>
            <w:p w14:paraId="4E3D0F16"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MORÍN, E. (2002). </w:t>
              </w:r>
              <w:r w:rsidRPr="007201F1">
                <w:rPr>
                  <w:rFonts w:ascii="A}" w:hAnsi="A}"/>
                  <w:i/>
                  <w:iCs/>
                  <w:noProof/>
                  <w:sz w:val="20"/>
                  <w:szCs w:val="20"/>
                  <w:lang w:val="es-ES"/>
                </w:rPr>
                <w:t>LA CABEZA BIEN PUESTA</w:t>
              </w:r>
              <w:r w:rsidRPr="007201F1">
                <w:rPr>
                  <w:rFonts w:ascii="A}" w:hAnsi="A}"/>
                  <w:noProof/>
                  <w:sz w:val="20"/>
                  <w:szCs w:val="20"/>
                  <w:lang w:val="es-ES"/>
                </w:rPr>
                <w:t>. Obtenido de Repensar la reforma- Reformar el pensamiento: https://revistanotaalpie.files.wordpress.com/2014/05/la_cabeza_bien_puesta_1979.pdf</w:t>
              </w:r>
            </w:p>
            <w:p w14:paraId="177897EF"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Naciones Unidas. (1987). </w:t>
              </w:r>
              <w:r w:rsidRPr="007201F1">
                <w:rPr>
                  <w:rFonts w:ascii="A}" w:hAnsi="A}"/>
                  <w:i/>
                  <w:iCs/>
                  <w:noProof/>
                  <w:sz w:val="20"/>
                  <w:szCs w:val="20"/>
                  <w:lang w:val="es-ES"/>
                </w:rPr>
                <w:t>Informe de la Comisicón Mundial sobre el Medio Ambiente y el Desarrollo sostenible</w:t>
              </w:r>
              <w:r w:rsidRPr="007201F1">
                <w:rPr>
                  <w:rFonts w:ascii="A}" w:hAnsi="A}"/>
                  <w:noProof/>
                  <w:sz w:val="20"/>
                  <w:szCs w:val="20"/>
                  <w:lang w:val="es-ES"/>
                </w:rPr>
                <w:t>. Obtenido de https://es.scribd.com/doc/105305734/ONU-Informe-Brundtland-Ago-1987-Informe-de-la-Comision-Mundial-sobre-Medio-Ambiente-y-Desarrollo</w:t>
              </w:r>
            </w:p>
            <w:p w14:paraId="0869769B"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Naredo, J. M. (2001). Configuración y crisis del mito del trabajo. </w:t>
              </w:r>
              <w:r w:rsidRPr="007201F1">
                <w:rPr>
                  <w:rFonts w:ascii="A}" w:hAnsi="A}"/>
                  <w:i/>
                  <w:iCs/>
                  <w:noProof/>
                  <w:sz w:val="20"/>
                  <w:szCs w:val="20"/>
                  <w:lang w:val="es-ES"/>
                </w:rPr>
                <w:t>Archipiélago: Cuadernos de Crítica de la Cultura</w:t>
              </w:r>
              <w:r w:rsidRPr="007201F1">
                <w:rPr>
                  <w:rFonts w:ascii="A}" w:hAnsi="A}"/>
                  <w:noProof/>
                  <w:sz w:val="20"/>
                  <w:szCs w:val="20"/>
                  <w:lang w:val="es-ES"/>
                </w:rPr>
                <w:t>, 13 - 24.</w:t>
              </w:r>
            </w:p>
            <w:p w14:paraId="50F7D66C"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Nolla , N. (2004). Instrumento para la evaluación del diseño curricular. </w:t>
              </w:r>
              <w:r w:rsidRPr="007201F1">
                <w:rPr>
                  <w:rFonts w:ascii="A}" w:hAnsi="A}"/>
                  <w:i/>
                  <w:iCs/>
                  <w:noProof/>
                  <w:sz w:val="20"/>
                  <w:szCs w:val="20"/>
                  <w:lang w:val="es-ES"/>
                </w:rPr>
                <w:t xml:space="preserve">Educ med Superior, 18 </w:t>
              </w:r>
              <w:r w:rsidRPr="007201F1">
                <w:rPr>
                  <w:rFonts w:ascii="A}" w:hAnsi="A}"/>
                  <w:noProof/>
                  <w:sz w:val="20"/>
                  <w:szCs w:val="20"/>
                  <w:lang w:val="es-ES"/>
                </w:rPr>
                <w:t>(3).</w:t>
              </w:r>
            </w:p>
            <w:p w14:paraId="4EE9DD54"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Novo. (3-9 de Marzo-abril de 2009). </w:t>
              </w:r>
              <w:r w:rsidRPr="007201F1">
                <w:rPr>
                  <w:rFonts w:ascii="A}" w:hAnsi="A}"/>
                  <w:i/>
                  <w:iCs/>
                  <w:noProof/>
                  <w:sz w:val="20"/>
                  <w:szCs w:val="20"/>
                  <w:lang w:val="es-ES"/>
                </w:rPr>
                <w:t>Revista de Educación.</w:t>
              </w:r>
              <w:r w:rsidRPr="007201F1">
                <w:rPr>
                  <w:rFonts w:ascii="A}" w:hAnsi="A}"/>
                  <w:noProof/>
                  <w:sz w:val="20"/>
                  <w:szCs w:val="20"/>
                  <w:lang w:val="es-ES"/>
                </w:rPr>
                <w:t xml:space="preserve"> </w:t>
              </w:r>
            </w:p>
            <w:p w14:paraId="7CDCAF29"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Novo. (3-9 de Marzo-abril de 2009). </w:t>
              </w:r>
              <w:r w:rsidRPr="007201F1">
                <w:rPr>
                  <w:rFonts w:ascii="A}" w:hAnsi="A}"/>
                  <w:i/>
                  <w:iCs/>
                  <w:noProof/>
                  <w:sz w:val="20"/>
                  <w:szCs w:val="20"/>
                  <w:lang w:val="es-ES"/>
                </w:rPr>
                <w:t>Revista de Educación.</w:t>
              </w:r>
              <w:r w:rsidRPr="007201F1">
                <w:rPr>
                  <w:rFonts w:ascii="A}" w:hAnsi="A}"/>
                  <w:noProof/>
                  <w:sz w:val="20"/>
                  <w:szCs w:val="20"/>
                  <w:lang w:val="es-ES"/>
                </w:rPr>
                <w:t xml:space="preserve"> Obtenido de La educación ambiental,una genuina educación para el desarrollo sostenible: http://www.academia.edu/4309307/La_educacion_ambiental_una_genuina_educacion_para_el_desarrollo_sostenible</w:t>
              </w:r>
            </w:p>
            <w:p w14:paraId="3938BB52"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Novo, M. (2006). El desarrollo sostenible. Su dimensión ambiental y educación. Madrid: Pearson Educación S.A.</w:t>
              </w:r>
            </w:p>
            <w:p w14:paraId="50770358"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OIKOS . (1998). Guía de actividades de Educación Ambiental para docentes de Educación Media.</w:t>
              </w:r>
            </w:p>
            <w:p w14:paraId="00C8168C"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Pérez Pinto, D. (24 de Junio de 2013). </w:t>
              </w:r>
              <w:r w:rsidRPr="007201F1">
                <w:rPr>
                  <w:rFonts w:ascii="A}" w:hAnsi="A}"/>
                  <w:i/>
                  <w:iCs/>
                  <w:noProof/>
                  <w:sz w:val="20"/>
                  <w:szCs w:val="20"/>
                  <w:lang w:val="es-ES"/>
                </w:rPr>
                <w:t>Comportamiento ambiental en estudiantes de secundaria</w:t>
              </w:r>
              <w:r w:rsidRPr="007201F1">
                <w:rPr>
                  <w:rFonts w:ascii="A}" w:hAnsi="A}"/>
                  <w:noProof/>
                  <w:sz w:val="20"/>
                  <w:szCs w:val="20"/>
                  <w:lang w:val="es-ES"/>
                </w:rPr>
                <w:t>. Obtenido de http://vinculando.org/educacion/comportamiento-ambiental-en-estudiantes-de-secundaria.html</w:t>
              </w:r>
            </w:p>
            <w:p w14:paraId="1715A897"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Pérez Porto, J. (2008). </w:t>
              </w:r>
              <w:r w:rsidRPr="007201F1">
                <w:rPr>
                  <w:rFonts w:ascii="A}" w:hAnsi="A}"/>
                  <w:i/>
                  <w:iCs/>
                  <w:noProof/>
                  <w:sz w:val="20"/>
                  <w:szCs w:val="20"/>
                  <w:lang w:val="es-ES"/>
                </w:rPr>
                <w:t>Definición de</w:t>
              </w:r>
              <w:r w:rsidRPr="007201F1">
                <w:rPr>
                  <w:rFonts w:ascii="A}" w:hAnsi="A}"/>
                  <w:noProof/>
                  <w:sz w:val="20"/>
                  <w:szCs w:val="20"/>
                  <w:lang w:val="es-ES"/>
                </w:rPr>
                <w:t>. Obtenido de http://definicion.de/holistica/</w:t>
              </w:r>
            </w:p>
            <w:p w14:paraId="34F17762"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Pérez, D. G. (2005). Década de la Educación para el desarrollo sostenible. Algunas ideas para elaborar una estrategia global. </w:t>
              </w:r>
              <w:r w:rsidRPr="007201F1">
                <w:rPr>
                  <w:rFonts w:ascii="A}" w:hAnsi="A}"/>
                  <w:i/>
                  <w:iCs/>
                  <w:noProof/>
                  <w:sz w:val="20"/>
                  <w:szCs w:val="20"/>
                  <w:lang w:val="es-ES"/>
                </w:rPr>
                <w:t>Revista Eureka sobre Enseñanza y Divulgación de las Ciencias, 2</w:t>
              </w:r>
              <w:r w:rsidRPr="007201F1">
                <w:rPr>
                  <w:rFonts w:ascii="A}" w:hAnsi="A}"/>
                  <w:noProof/>
                  <w:sz w:val="20"/>
                  <w:szCs w:val="20"/>
                  <w:lang w:val="es-ES"/>
                </w:rPr>
                <w:t>(1), 91-100.</w:t>
              </w:r>
            </w:p>
            <w:p w14:paraId="2E7DB75E"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Polanyi, K. (2013). Nuestra obsoleta mentalidad del mercado. En </w:t>
              </w:r>
              <w:r w:rsidRPr="007201F1">
                <w:rPr>
                  <w:rFonts w:ascii="A}" w:hAnsi="A}"/>
                  <w:i/>
                  <w:iCs/>
                  <w:noProof/>
                  <w:sz w:val="20"/>
                  <w:szCs w:val="20"/>
                  <w:lang w:val="es-ES"/>
                </w:rPr>
                <w:t>Mediterráneo económico</w:t>
              </w:r>
              <w:r w:rsidRPr="007201F1">
                <w:rPr>
                  <w:rFonts w:ascii="A}" w:hAnsi="A}"/>
                  <w:noProof/>
                  <w:sz w:val="20"/>
                  <w:szCs w:val="20"/>
                  <w:lang w:val="es-ES"/>
                </w:rPr>
                <w:t xml:space="preserve"> (págs. 51 - 61).</w:t>
              </w:r>
            </w:p>
            <w:p w14:paraId="27F05B4B"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Por un futuro sostenible. (s.f.). </w:t>
              </w:r>
              <w:r w:rsidRPr="007201F1">
                <w:rPr>
                  <w:rFonts w:ascii="A}" w:hAnsi="A}"/>
                  <w:i/>
                  <w:iCs/>
                  <w:noProof/>
                  <w:sz w:val="20"/>
                  <w:szCs w:val="20"/>
                  <w:lang w:val="es-ES"/>
                </w:rPr>
                <w:t>Década por una educación para la sostenibilidad</w:t>
              </w:r>
              <w:r w:rsidRPr="007201F1">
                <w:rPr>
                  <w:rFonts w:ascii="A}" w:hAnsi="A}"/>
                  <w:noProof/>
                  <w:sz w:val="20"/>
                  <w:szCs w:val="20"/>
                  <w:lang w:val="es-ES"/>
                </w:rPr>
                <w:t>. Obtenido de http://www.oei.es/historico/decada/accion004.htm</w:t>
              </w:r>
            </w:p>
            <w:p w14:paraId="4AEB08AD"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PRESIDENCIA DE LA REPUBLICA, D. E. (2010). </w:t>
              </w:r>
              <w:r w:rsidRPr="007201F1">
                <w:rPr>
                  <w:rFonts w:ascii="A}" w:hAnsi="A}"/>
                  <w:i/>
                  <w:iCs/>
                  <w:noProof/>
                  <w:sz w:val="20"/>
                  <w:szCs w:val="20"/>
                  <w:lang w:val="es-ES"/>
                </w:rPr>
                <w:t>LEY ORGÁNICA DE EDUCACIÓN SUPERIOR</w:t>
              </w:r>
              <w:r w:rsidRPr="007201F1">
                <w:rPr>
                  <w:rFonts w:ascii="A}" w:hAnsi="A}"/>
                  <w:noProof/>
                  <w:sz w:val="20"/>
                  <w:szCs w:val="20"/>
                  <w:lang w:val="es-ES"/>
                </w:rPr>
                <w:t>. Obtenido de pág 7</w:t>
              </w:r>
            </w:p>
            <w:p w14:paraId="35B8AE6D"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Psicología de la intervención social. (s.f.). </w:t>
              </w:r>
              <w:r w:rsidRPr="007201F1">
                <w:rPr>
                  <w:rFonts w:ascii="A}" w:hAnsi="A}"/>
                  <w:i/>
                  <w:iCs/>
                  <w:noProof/>
                  <w:sz w:val="20"/>
                  <w:szCs w:val="20"/>
                  <w:lang w:val="es-ES"/>
                </w:rPr>
                <w:t>Psicología de la intervención social</w:t>
              </w:r>
              <w:r w:rsidRPr="007201F1">
                <w:rPr>
                  <w:rFonts w:ascii="A}" w:hAnsi="A}"/>
                  <w:noProof/>
                  <w:sz w:val="20"/>
                  <w:szCs w:val="20"/>
                  <w:lang w:val="es-ES"/>
                </w:rPr>
                <w:t>. Obtenido de https://www.cop.es/perfiles/contenido/is.htm</w:t>
              </w:r>
            </w:p>
            <w:p w14:paraId="09085807"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Quiva, D. (2010). LA EDUCACIÓN AMBIENTAL COMO HERRAMIENTA PARA PROMOVER EL DESRROLLO SOSTENIBLE. </w:t>
              </w:r>
              <w:r w:rsidRPr="007201F1">
                <w:rPr>
                  <w:rFonts w:ascii="A}" w:hAnsi="A}"/>
                  <w:i/>
                  <w:iCs/>
                  <w:noProof/>
                  <w:sz w:val="20"/>
                  <w:szCs w:val="20"/>
                  <w:lang w:val="es-ES"/>
                </w:rPr>
                <w:t>Revista de estudios Interdisciplinarios en Ciencias Sociales, 12</w:t>
              </w:r>
              <w:r w:rsidRPr="007201F1">
                <w:rPr>
                  <w:rFonts w:ascii="A}" w:hAnsi="A}"/>
                  <w:noProof/>
                  <w:sz w:val="20"/>
                  <w:szCs w:val="20"/>
                  <w:lang w:val="es-ES"/>
                </w:rPr>
                <w:t>, 378 - 394.</w:t>
              </w:r>
            </w:p>
            <w:p w14:paraId="2025C283"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Quiva, Dayli, &amp; Luids, V. (2010). LA EDUCACIÓN AMBIENTAL COMO HERRAMIENTA PARA PROMOVER EL DESRROLLO SOSTENIBLE.</w:t>
              </w:r>
            </w:p>
            <w:p w14:paraId="63A3D761"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Riesgos, S. N. (2014). </w:t>
              </w:r>
              <w:r w:rsidRPr="007201F1">
                <w:rPr>
                  <w:rFonts w:ascii="A}" w:hAnsi="A}"/>
                  <w:i/>
                  <w:iCs/>
                  <w:noProof/>
                  <w:sz w:val="20"/>
                  <w:szCs w:val="20"/>
                  <w:lang w:val="es-ES"/>
                </w:rPr>
                <w:t>Agenda Sectorial de Gestión de Riesgos.</w:t>
              </w:r>
              <w:r w:rsidRPr="007201F1">
                <w:rPr>
                  <w:rFonts w:ascii="A}" w:hAnsi="A}"/>
                  <w:noProof/>
                  <w:sz w:val="20"/>
                  <w:szCs w:val="20"/>
                  <w:lang w:val="es-ES"/>
                </w:rPr>
                <w:t xml:space="preserve"> Quito: El Telégrafo.</w:t>
              </w:r>
            </w:p>
            <w:p w14:paraId="1F8AA27F"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Sauvé, L. (1999). </w:t>
              </w:r>
              <w:r w:rsidRPr="007201F1">
                <w:rPr>
                  <w:rFonts w:ascii="A}" w:hAnsi="A}"/>
                  <w:i/>
                  <w:iCs/>
                  <w:noProof/>
                  <w:sz w:val="20"/>
                  <w:szCs w:val="20"/>
                  <w:lang w:val="es-ES"/>
                </w:rPr>
                <w:t>La Educación Ambiental entre la modernidad y la posmodernidad: en busca de un marco educativo de referencia integrador.</w:t>
              </w:r>
              <w:r w:rsidRPr="007201F1">
                <w:rPr>
                  <w:rFonts w:ascii="A}" w:hAnsi="A}"/>
                  <w:noProof/>
                  <w:sz w:val="20"/>
                  <w:szCs w:val="20"/>
                  <w:lang w:val="es-ES"/>
                </w:rPr>
                <w:t xml:space="preserve"> </w:t>
              </w:r>
            </w:p>
            <w:p w14:paraId="24889816"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Secretaria Nacional de Gestion de Riesgos. (2014). </w:t>
              </w:r>
              <w:r w:rsidRPr="007201F1">
                <w:rPr>
                  <w:rFonts w:ascii="A}" w:hAnsi="A}"/>
                  <w:i/>
                  <w:iCs/>
                  <w:noProof/>
                  <w:sz w:val="20"/>
                  <w:szCs w:val="20"/>
                  <w:lang w:val="es-ES"/>
                </w:rPr>
                <w:t>Agenda Sectorial de Gestion de Riesgos.</w:t>
              </w:r>
              <w:r w:rsidRPr="007201F1">
                <w:rPr>
                  <w:rFonts w:ascii="A}" w:hAnsi="A}"/>
                  <w:noProof/>
                  <w:sz w:val="20"/>
                  <w:szCs w:val="20"/>
                  <w:lang w:val="es-ES"/>
                </w:rPr>
                <w:t xml:space="preserve"> D. M. Quito.</w:t>
              </w:r>
            </w:p>
            <w:p w14:paraId="273F5571"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Segura, A. (Julio de 2003). </w:t>
              </w:r>
              <w:r w:rsidRPr="007201F1">
                <w:rPr>
                  <w:rFonts w:ascii="A}" w:hAnsi="A}"/>
                  <w:i/>
                  <w:iCs/>
                  <w:noProof/>
                  <w:sz w:val="20"/>
                  <w:szCs w:val="20"/>
                  <w:lang w:val="es-ES"/>
                </w:rPr>
                <w:t>Diseños cuasiexperimentales</w:t>
              </w:r>
              <w:r w:rsidRPr="007201F1">
                <w:rPr>
                  <w:rFonts w:ascii="A}" w:hAnsi="A}"/>
                  <w:noProof/>
                  <w:sz w:val="20"/>
                  <w:szCs w:val="20"/>
                  <w:lang w:val="es-ES"/>
                </w:rPr>
                <w:t>. Obtenido de http://www.sld.cu/galerias/pdf/sitios/renacip/disenos_cuasiexperimentales.pdf</w:t>
              </w:r>
            </w:p>
            <w:p w14:paraId="43BD9489"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Solano, David; UNESCO. (s.f.). </w:t>
              </w:r>
              <w:r w:rsidRPr="007201F1">
                <w:rPr>
                  <w:rFonts w:ascii="A}" w:hAnsi="A}"/>
                  <w:i/>
                  <w:iCs/>
                  <w:noProof/>
                  <w:sz w:val="20"/>
                  <w:szCs w:val="20"/>
                  <w:lang w:val="es-ES"/>
                </w:rPr>
                <w:t>Estrategias de Comunicación y Educación para el Desarrollo Sostrenible</w:t>
              </w:r>
              <w:r w:rsidRPr="007201F1">
                <w:rPr>
                  <w:rFonts w:ascii="A}" w:hAnsi="A}"/>
                  <w:noProof/>
                  <w:sz w:val="20"/>
                  <w:szCs w:val="20"/>
                  <w:lang w:val="es-ES"/>
                </w:rPr>
                <w:t>. Obtenido de http://unesdoc.unesco.org/images/0015/001595/159531s.pdf</w:t>
              </w:r>
            </w:p>
            <w:p w14:paraId="5AF8265B"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Sostenible, C. M. (26 de setiembrep de 2002). </w:t>
              </w:r>
              <w:r w:rsidRPr="007201F1">
                <w:rPr>
                  <w:rFonts w:ascii="A}" w:hAnsi="A}"/>
                  <w:i/>
                  <w:iCs/>
                  <w:noProof/>
                  <w:sz w:val="20"/>
                  <w:szCs w:val="20"/>
                  <w:lang w:val="es-ES"/>
                </w:rPr>
                <w:t>Resultados sobre el desarrollo sostenible</w:t>
              </w:r>
              <w:r w:rsidRPr="007201F1">
                <w:rPr>
                  <w:rFonts w:ascii="A}" w:hAnsi="A}"/>
                  <w:noProof/>
                  <w:sz w:val="20"/>
                  <w:szCs w:val="20"/>
                  <w:lang w:val="es-ES"/>
                </w:rPr>
                <w:t>. Obtenido de http://www.un.org/es/development/devagenda/sustainable.shtml</w:t>
              </w:r>
            </w:p>
            <w:p w14:paraId="7CE4620C" w14:textId="77777777" w:rsidR="007201F1" w:rsidRPr="00CC2BB3" w:rsidRDefault="007201F1" w:rsidP="004016D7">
              <w:pPr>
                <w:pStyle w:val="Bibliografa"/>
                <w:spacing w:line="240" w:lineRule="auto"/>
                <w:ind w:left="720" w:hanging="720"/>
                <w:rPr>
                  <w:rFonts w:ascii="A}" w:hAnsi="A}"/>
                  <w:noProof/>
                  <w:sz w:val="20"/>
                  <w:szCs w:val="20"/>
                  <w:lang w:val="en-US"/>
                </w:rPr>
              </w:pPr>
              <w:r w:rsidRPr="007201F1">
                <w:rPr>
                  <w:rFonts w:ascii="A}" w:hAnsi="A}"/>
                  <w:noProof/>
                  <w:sz w:val="20"/>
                  <w:szCs w:val="20"/>
                  <w:lang w:val="es-ES"/>
                </w:rPr>
                <w:t xml:space="preserve">Teillery, J. C. (2004). Los mercados como campos y arenas. Hacia una etnoeconomía de los procesos mercantiles. </w:t>
              </w:r>
              <w:r w:rsidRPr="00CC2BB3">
                <w:rPr>
                  <w:rFonts w:ascii="A}" w:hAnsi="A}"/>
                  <w:i/>
                  <w:iCs/>
                  <w:noProof/>
                  <w:sz w:val="20"/>
                  <w:szCs w:val="20"/>
                  <w:lang w:val="en-US"/>
                </w:rPr>
                <w:t xml:space="preserve">Alteridades </w:t>
              </w:r>
              <w:r w:rsidRPr="00CC2BB3">
                <w:rPr>
                  <w:rFonts w:ascii="A}" w:hAnsi="A}"/>
                  <w:noProof/>
                  <w:sz w:val="20"/>
                  <w:szCs w:val="20"/>
                  <w:lang w:val="en-US"/>
                </w:rPr>
                <w:t>, 109 - 125.</w:t>
              </w:r>
            </w:p>
            <w:p w14:paraId="60926343" w14:textId="77777777" w:rsidR="007201F1" w:rsidRPr="007201F1" w:rsidRDefault="007201F1" w:rsidP="004016D7">
              <w:pPr>
                <w:pStyle w:val="Bibliografa"/>
                <w:spacing w:line="240" w:lineRule="auto"/>
                <w:ind w:left="720" w:hanging="720"/>
                <w:rPr>
                  <w:rFonts w:ascii="A}" w:hAnsi="A}"/>
                  <w:noProof/>
                  <w:sz w:val="20"/>
                  <w:szCs w:val="20"/>
                  <w:lang w:val="es-ES"/>
                </w:rPr>
              </w:pPr>
              <w:r w:rsidRPr="00CC2BB3">
                <w:rPr>
                  <w:rFonts w:ascii="A}" w:hAnsi="A}"/>
                  <w:noProof/>
                  <w:sz w:val="20"/>
                  <w:szCs w:val="20"/>
                  <w:lang w:val="en-US"/>
                </w:rPr>
                <w:lastRenderedPageBreak/>
                <w:t xml:space="preserve">Turner, V. (1974). Social Dramas and Ritual Metaphors. </w:t>
              </w:r>
              <w:r w:rsidRPr="00CC2BB3">
                <w:rPr>
                  <w:rFonts w:ascii="A}" w:hAnsi="A}"/>
                  <w:i/>
                  <w:iCs/>
                  <w:noProof/>
                  <w:sz w:val="20"/>
                  <w:szCs w:val="20"/>
                  <w:lang w:val="en-US"/>
                </w:rPr>
                <w:t xml:space="preserve">Dramas, Fields, and Metaphors. </w:t>
              </w:r>
              <w:r w:rsidRPr="007201F1">
                <w:rPr>
                  <w:rFonts w:ascii="A}" w:hAnsi="A}"/>
                  <w:i/>
                  <w:iCs/>
                  <w:noProof/>
                  <w:sz w:val="20"/>
                  <w:szCs w:val="20"/>
                  <w:lang w:val="es-ES"/>
                </w:rPr>
                <w:t>Symbolic Action in Human Society</w:t>
              </w:r>
              <w:r w:rsidRPr="007201F1">
                <w:rPr>
                  <w:rFonts w:ascii="A}" w:hAnsi="A}"/>
                  <w:noProof/>
                  <w:sz w:val="20"/>
                  <w:szCs w:val="20"/>
                  <w:lang w:val="es-ES"/>
                </w:rPr>
                <w:t>, 23 - 59.</w:t>
              </w:r>
            </w:p>
            <w:p w14:paraId="6AF6F9BF"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UCE. (2016). </w:t>
              </w:r>
              <w:r w:rsidRPr="007201F1">
                <w:rPr>
                  <w:rFonts w:ascii="A}" w:hAnsi="A}"/>
                  <w:i/>
                  <w:iCs/>
                  <w:noProof/>
                  <w:sz w:val="20"/>
                  <w:szCs w:val="20"/>
                  <w:lang w:val="es-ES"/>
                </w:rPr>
                <w:t>Dirección General de Investigación y Postgrado.</w:t>
              </w:r>
              <w:r w:rsidRPr="007201F1">
                <w:rPr>
                  <w:rFonts w:ascii="A}" w:hAnsi="A}"/>
                  <w:noProof/>
                  <w:sz w:val="20"/>
                  <w:szCs w:val="20"/>
                  <w:lang w:val="es-ES"/>
                </w:rPr>
                <w:t xml:space="preserve"> Quito: Editorial Universitaria.</w:t>
              </w:r>
            </w:p>
            <w:p w14:paraId="1FD8109F"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UNESCO. (2009). </w:t>
              </w:r>
              <w:r w:rsidRPr="007201F1">
                <w:rPr>
                  <w:rFonts w:ascii="A}" w:hAnsi="A}"/>
                  <w:i/>
                  <w:iCs/>
                  <w:noProof/>
                  <w:sz w:val="20"/>
                  <w:szCs w:val="20"/>
                  <w:lang w:val="es-ES"/>
                </w:rPr>
                <w:t>Programa Internacional de Educación Ambiental.</w:t>
              </w:r>
              <w:r w:rsidRPr="007201F1">
                <w:rPr>
                  <w:rFonts w:ascii="A}" w:hAnsi="A}"/>
                  <w:noProof/>
                  <w:sz w:val="20"/>
                  <w:szCs w:val="20"/>
                  <w:lang w:val="es-ES"/>
                </w:rPr>
                <w:t xml:space="preserve"> Santiago de Chile: Oficina Regional De Educación.</w:t>
              </w:r>
            </w:p>
            <w:p w14:paraId="3F025D88"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UNESCO. (2012). Educación para el desarrollo sostenible. </w:t>
              </w:r>
              <w:r w:rsidRPr="007201F1">
                <w:rPr>
                  <w:rFonts w:ascii="A}" w:hAnsi="A}"/>
                  <w:i/>
                  <w:iCs/>
                  <w:noProof/>
                  <w:sz w:val="20"/>
                  <w:szCs w:val="20"/>
                  <w:lang w:val="es-ES"/>
                </w:rPr>
                <w:t>Libro de consulta</w:t>
              </w:r>
              <w:r w:rsidRPr="007201F1">
                <w:rPr>
                  <w:rFonts w:ascii="A}" w:hAnsi="A}"/>
                  <w:noProof/>
                  <w:sz w:val="20"/>
                  <w:szCs w:val="20"/>
                  <w:lang w:val="es-ES"/>
                </w:rPr>
                <w:t>(4). Obtenido de Libro de consulta.</w:t>
              </w:r>
            </w:p>
            <w:p w14:paraId="58CB05F8"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UNESCO. (2016). </w:t>
              </w:r>
              <w:r w:rsidRPr="007201F1">
                <w:rPr>
                  <w:rFonts w:ascii="A}" w:hAnsi="A}"/>
                  <w:i/>
                  <w:iCs/>
                  <w:noProof/>
                  <w:sz w:val="20"/>
                  <w:szCs w:val="20"/>
                  <w:lang w:val="es-ES"/>
                </w:rPr>
                <w:t>Educación para el desarrollo sostenible</w:t>
              </w:r>
              <w:r w:rsidRPr="007201F1">
                <w:rPr>
                  <w:rFonts w:ascii="A}" w:hAnsi="A}"/>
                  <w:noProof/>
                  <w:sz w:val="20"/>
                  <w:szCs w:val="20"/>
                  <w:lang w:val="es-ES"/>
                </w:rPr>
                <w:t>. Obtenido de http://www.unesco.org/new/es/education/themes/leading-the-international-agenda/education-for-sustainable-development/education-for-sustainable-development/</w:t>
              </w:r>
            </w:p>
            <w:p w14:paraId="7FB0D395"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Universidad Central del Ecuador. (2016). </w:t>
              </w:r>
              <w:r w:rsidRPr="007201F1">
                <w:rPr>
                  <w:rFonts w:ascii="A}" w:hAnsi="A}"/>
                  <w:i/>
                  <w:iCs/>
                  <w:noProof/>
                  <w:sz w:val="20"/>
                  <w:szCs w:val="20"/>
                  <w:lang w:val="es-ES"/>
                </w:rPr>
                <w:t>Rediseño curricular 2016-2021.</w:t>
              </w:r>
              <w:r w:rsidRPr="007201F1">
                <w:rPr>
                  <w:rFonts w:ascii="A}" w:hAnsi="A}"/>
                  <w:noProof/>
                  <w:sz w:val="20"/>
                  <w:szCs w:val="20"/>
                  <w:lang w:val="es-ES"/>
                </w:rPr>
                <w:t xml:space="preserve"> UCE, Carr era de Ciencias Naturales, Quito.</w:t>
              </w:r>
            </w:p>
            <w:p w14:paraId="3DB1E8D3"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UPEL. (2011). Documento base del Currículo de la UPL. Caracas.</w:t>
              </w:r>
            </w:p>
            <w:p w14:paraId="6D3DBD7E"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VILLAROEL, J. (1991). </w:t>
              </w:r>
              <w:r w:rsidRPr="007201F1">
                <w:rPr>
                  <w:rFonts w:ascii="A}" w:hAnsi="A}"/>
                  <w:i/>
                  <w:iCs/>
                  <w:noProof/>
                  <w:sz w:val="20"/>
                  <w:szCs w:val="20"/>
                  <w:lang w:val="es-ES"/>
                </w:rPr>
                <w:t>Manual de Investigación Documental. Quito.</w:t>
              </w:r>
              <w:r w:rsidRPr="007201F1">
                <w:rPr>
                  <w:rFonts w:ascii="A}" w:hAnsi="A}"/>
                  <w:noProof/>
                  <w:sz w:val="20"/>
                  <w:szCs w:val="20"/>
                  <w:lang w:val="es-ES"/>
                </w:rPr>
                <w:t xml:space="preserve"> Quito.</w:t>
              </w:r>
            </w:p>
            <w:p w14:paraId="749B789E" w14:textId="77777777" w:rsidR="007201F1" w:rsidRPr="007201F1" w:rsidRDefault="007201F1" w:rsidP="004016D7">
              <w:pPr>
                <w:pStyle w:val="Bibliografa"/>
                <w:spacing w:line="240" w:lineRule="auto"/>
                <w:ind w:left="720" w:hanging="720"/>
                <w:rPr>
                  <w:rFonts w:ascii="A}" w:hAnsi="A}"/>
                  <w:noProof/>
                  <w:sz w:val="20"/>
                  <w:szCs w:val="20"/>
                  <w:lang w:val="es-ES"/>
                </w:rPr>
              </w:pPr>
              <w:r w:rsidRPr="007201F1">
                <w:rPr>
                  <w:rFonts w:ascii="A}" w:hAnsi="A}"/>
                  <w:noProof/>
                  <w:sz w:val="20"/>
                  <w:szCs w:val="20"/>
                  <w:lang w:val="es-ES"/>
                </w:rPr>
                <w:t xml:space="preserve">Zanbrano, B. e. (15 de Enero de 2009). Percepción ambiental en estudiantes de secundaria. </w:t>
              </w:r>
              <w:r w:rsidRPr="007201F1">
                <w:rPr>
                  <w:rFonts w:ascii="A}" w:hAnsi="A}"/>
                  <w:i/>
                  <w:iCs/>
                  <w:noProof/>
                  <w:sz w:val="20"/>
                  <w:szCs w:val="20"/>
                  <w:lang w:val="es-ES"/>
                </w:rPr>
                <w:t>Actualidades Investigativas en Educación, 9</w:t>
              </w:r>
              <w:r w:rsidRPr="007201F1">
                <w:rPr>
                  <w:rFonts w:ascii="A}" w:hAnsi="A}"/>
                  <w:noProof/>
                  <w:sz w:val="20"/>
                  <w:szCs w:val="20"/>
                  <w:lang w:val="es-ES"/>
                </w:rPr>
                <w:t>(3), 1-10.</w:t>
              </w:r>
            </w:p>
            <w:p w14:paraId="278D315E" w14:textId="291A2284" w:rsidR="00713150" w:rsidRPr="00AE064D" w:rsidRDefault="00AE064D" w:rsidP="004016D7">
              <w:pPr>
                <w:shd w:val="clear" w:color="auto" w:fill="FFFFFF"/>
                <w:tabs>
                  <w:tab w:val="left" w:pos="5084"/>
                </w:tabs>
                <w:spacing w:after="0" w:line="240" w:lineRule="auto"/>
                <w:rPr>
                  <w:rFonts w:ascii="Arial" w:eastAsia="Calibri" w:hAnsi="Arial" w:cs="Arial"/>
                  <w:b/>
                  <w:sz w:val="24"/>
                  <w:szCs w:val="24"/>
                  <w:lang w:val="es-EC"/>
                </w:rPr>
              </w:pPr>
              <w:r w:rsidRPr="007201F1">
                <w:rPr>
                  <w:rFonts w:ascii="A}" w:hAnsi="A}" w:cs="Arial"/>
                  <w:b/>
                  <w:bCs/>
                  <w:sz w:val="20"/>
                  <w:szCs w:val="20"/>
                </w:rPr>
                <w:fldChar w:fldCharType="end"/>
              </w:r>
            </w:p>
          </w:sdtContent>
        </w:sdt>
      </w:sdtContent>
    </w:sdt>
    <w:sectPr w:rsidR="00713150" w:rsidRPr="00AE064D" w:rsidSect="008346F9">
      <w:headerReference w:type="even" r:id="rId14"/>
      <w:headerReference w:type="default" r:id="rId15"/>
      <w:footerReference w:type="even" r:id="rId16"/>
      <w:footerReference w:type="default" r:id="rId17"/>
      <w:headerReference w:type="first" r:id="rId18"/>
      <w:type w:val="continuous"/>
      <w:pgSz w:w="11906" w:h="16838"/>
      <w:pgMar w:top="1701" w:right="1701" w:bottom="1701" w:left="1701" w:header="709" w:footer="709" w:gutter="0"/>
      <w:pgNumType w:start="67"/>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F6AAF" w14:textId="77777777" w:rsidR="0021011F" w:rsidRDefault="0021011F" w:rsidP="007719E5">
      <w:pPr>
        <w:spacing w:after="0" w:line="240" w:lineRule="auto"/>
      </w:pPr>
      <w:r>
        <w:separator/>
      </w:r>
    </w:p>
  </w:endnote>
  <w:endnote w:type="continuationSeparator" w:id="0">
    <w:p w14:paraId="16E8D55F" w14:textId="77777777" w:rsidR="0021011F" w:rsidRDefault="0021011F"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705A92" w14:paraId="1C776A1E" w14:textId="77777777" w:rsidTr="00020BE7">
      <w:trPr>
        <w:trHeight w:val="360"/>
      </w:trPr>
      <w:tc>
        <w:tcPr>
          <w:tcW w:w="2815" w:type="pct"/>
          <w:shd w:val="clear" w:color="auto" w:fill="B2A1C7" w:themeFill="accent4" w:themeFillTint="99"/>
        </w:tcPr>
        <w:p w14:paraId="284F47D6" w14:textId="21131AFE" w:rsidR="00705A92" w:rsidRPr="00A1780E" w:rsidRDefault="00705A92">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3</w:t>
          </w:r>
          <w:r w:rsidRPr="00A1780E">
            <w:rPr>
              <w:rFonts w:ascii="Arial" w:hAnsi="Arial" w:cs="Arial"/>
              <w:i/>
              <w:color w:val="C00000"/>
              <w:sz w:val="20"/>
              <w:szCs w:val="20"/>
            </w:rPr>
            <w:t>(</w:t>
          </w:r>
          <w:r>
            <w:rPr>
              <w:rFonts w:ascii="Arial" w:hAnsi="Arial" w:cs="Arial"/>
              <w:i/>
              <w:color w:val="C00000"/>
              <w:sz w:val="20"/>
              <w:szCs w:val="20"/>
            </w:rPr>
            <w:t>1</w:t>
          </w:r>
          <w:r w:rsidRPr="00A1780E">
            <w:rPr>
              <w:rFonts w:ascii="Arial" w:hAnsi="Arial" w:cs="Arial"/>
              <w:i/>
              <w:color w:val="C00000"/>
              <w:sz w:val="20"/>
              <w:szCs w:val="20"/>
            </w:rPr>
            <w:t xml:space="preserve">), pp. </w:t>
          </w:r>
          <w:r w:rsidR="00914F08">
            <w:rPr>
              <w:rFonts w:ascii="Arial" w:hAnsi="Arial" w:cs="Arial"/>
              <w:i/>
              <w:color w:val="C00000"/>
              <w:sz w:val="20"/>
              <w:szCs w:val="20"/>
            </w:rPr>
            <w:t>67-81</w:t>
          </w:r>
        </w:p>
        <w:p w14:paraId="04839BB0" w14:textId="31E6CFDD" w:rsidR="00705A92" w:rsidRPr="00522B36" w:rsidRDefault="00705A92"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sidR="00CC2BB3">
            <w:rPr>
              <w:rFonts w:ascii="Arial" w:hAnsi="Arial" w:cs="Arial"/>
              <w:b/>
              <w:noProof/>
              <w:color w:val="C00000"/>
              <w:sz w:val="20"/>
              <w:szCs w:val="20"/>
            </w:rPr>
            <w:t>82</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705A92" w:rsidRPr="00522B36" w:rsidRDefault="00705A92">
          <w:pPr>
            <w:pStyle w:val="Piedepgina"/>
            <w:rPr>
              <w:color w:val="943634" w:themeColor="accent2" w:themeShade="BF"/>
            </w:rPr>
          </w:pPr>
        </w:p>
      </w:tc>
    </w:tr>
  </w:tbl>
  <w:p w14:paraId="2C2EBBB8" w14:textId="77777777" w:rsidR="00705A92" w:rsidRDefault="00705A9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1277"/>
      <w:gridCol w:w="7123"/>
    </w:tblGrid>
    <w:tr w:rsidR="00705A92" w:rsidRPr="00A1780E" w14:paraId="41750EB6" w14:textId="77777777" w:rsidTr="00BC5FDD">
      <w:trPr>
        <w:trHeight w:val="274"/>
      </w:trPr>
      <w:tc>
        <w:tcPr>
          <w:tcW w:w="760" w:type="pct"/>
        </w:tcPr>
        <w:p w14:paraId="2C3F9589" w14:textId="77777777" w:rsidR="00705A92" w:rsidRPr="00522B36" w:rsidRDefault="00705A92">
          <w:pPr>
            <w:pStyle w:val="Piedepgina"/>
            <w:jc w:val="right"/>
            <w:rPr>
              <w:b/>
              <w:color w:val="943634" w:themeColor="accent2" w:themeShade="BF"/>
            </w:rPr>
          </w:pPr>
        </w:p>
      </w:tc>
      <w:tc>
        <w:tcPr>
          <w:tcW w:w="4240" w:type="pct"/>
          <w:shd w:val="clear" w:color="auto" w:fill="8DB3E2" w:themeFill="text2" w:themeFillTint="66"/>
        </w:tcPr>
        <w:p w14:paraId="5718A4B8" w14:textId="0C71245C" w:rsidR="00705A92" w:rsidRPr="00713150" w:rsidRDefault="00705A92" w:rsidP="00713150">
          <w:pPr>
            <w:pStyle w:val="Piedepgina"/>
            <w:tabs>
              <w:tab w:val="center" w:pos="1715"/>
              <w:tab w:val="right" w:pos="5880"/>
            </w:tabs>
            <w:ind w:left="-2450"/>
            <w:jc w:val="right"/>
            <w:rPr>
              <w:rFonts w:ascii="Arial" w:hAnsi="Arial" w:cs="Arial"/>
              <w:b/>
              <w:bCs/>
              <w:i/>
              <w:iCs/>
              <w:color w:val="C00000"/>
              <w:sz w:val="20"/>
            </w:rPr>
          </w:pPr>
          <w:r>
            <w:rPr>
              <w:rFonts w:ascii="Arial" w:hAnsi="Arial" w:cs="Arial"/>
              <w:b/>
              <w:bCs/>
              <w:i/>
              <w:iCs/>
              <w:color w:val="C00000"/>
              <w:sz w:val="20"/>
              <w:lang w:val="es-EC"/>
            </w:rPr>
            <w:t>C</w:t>
          </w:r>
          <w:r w:rsidRPr="00705A92">
            <w:rPr>
              <w:rFonts w:ascii="Arial" w:hAnsi="Arial" w:cs="Arial"/>
              <w:b/>
              <w:bCs/>
              <w:i/>
              <w:iCs/>
              <w:color w:val="C00000"/>
              <w:sz w:val="20"/>
              <w:lang w:val="es-EC"/>
            </w:rPr>
            <w:t>onsumo de sustancias psicoestimulantes en estudiantes universitarios</w:t>
          </w:r>
        </w:p>
        <w:p w14:paraId="429AA33C" w14:textId="52CE65BD" w:rsidR="00705A92" w:rsidRPr="00A1780E" w:rsidRDefault="00705A92"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sidR="00CC2BB3">
            <w:rPr>
              <w:rFonts w:ascii="Arial" w:hAnsi="Arial" w:cs="Arial"/>
              <w:noProof/>
              <w:color w:val="C00000"/>
              <w:sz w:val="20"/>
            </w:rPr>
            <w:t>83</w:t>
          </w:r>
          <w:r w:rsidRPr="00A1780E">
            <w:rPr>
              <w:rFonts w:ascii="Arial" w:hAnsi="Arial" w:cs="Arial"/>
              <w:color w:val="C00000"/>
              <w:sz w:val="20"/>
            </w:rPr>
            <w:fldChar w:fldCharType="end"/>
          </w:r>
        </w:p>
      </w:tc>
    </w:tr>
  </w:tbl>
  <w:p w14:paraId="42C234C2" w14:textId="77777777" w:rsidR="00705A92" w:rsidRDefault="00705A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8168F" w14:textId="77777777" w:rsidR="0021011F" w:rsidRDefault="0021011F" w:rsidP="007719E5">
      <w:pPr>
        <w:spacing w:after="0" w:line="240" w:lineRule="auto"/>
      </w:pPr>
      <w:r>
        <w:separator/>
      </w:r>
    </w:p>
  </w:footnote>
  <w:footnote w:type="continuationSeparator" w:id="0">
    <w:p w14:paraId="632A440D" w14:textId="77777777" w:rsidR="0021011F" w:rsidRDefault="0021011F" w:rsidP="007719E5">
      <w:pPr>
        <w:spacing w:after="0" w:line="240" w:lineRule="auto"/>
      </w:pPr>
      <w:r>
        <w:continuationSeparator/>
      </w:r>
    </w:p>
  </w:footnote>
  <w:footnote w:id="1">
    <w:p w14:paraId="0D70B90C" w14:textId="53794506" w:rsidR="00705A92" w:rsidRPr="00AE064D" w:rsidRDefault="00705A92" w:rsidP="00AE064D">
      <w:pPr>
        <w:pStyle w:val="Textonotapie"/>
        <w:rPr>
          <w:sz w:val="16"/>
          <w:szCs w:val="16"/>
        </w:rPr>
      </w:pPr>
      <w:r w:rsidRPr="00AE064D">
        <w:rPr>
          <w:rStyle w:val="Refdenotaalpie"/>
        </w:rPr>
        <w:footnoteRef/>
      </w:r>
      <w:r w:rsidRPr="00AE064D">
        <w:t xml:space="preserve"> </w:t>
      </w:r>
      <w:r w:rsidRPr="00AE064D">
        <w:rPr>
          <w:sz w:val="16"/>
          <w:szCs w:val="16"/>
        </w:rPr>
        <w:t xml:space="preserve">Estudiante de la Carrera de Enfermería de la Facultad de Ciencias Médicas de la Universidad Central del Ecuador. Ecuador. Email: </w:t>
      </w:r>
      <w:hyperlink r:id="rId1" w:history="1">
        <w:r w:rsidRPr="00AE064D">
          <w:rPr>
            <w:rStyle w:val="Hipervnculo"/>
            <w:rFonts w:cs="Times New Roman"/>
            <w:sz w:val="16"/>
            <w:szCs w:val="16"/>
            <w:u w:val="none"/>
          </w:rPr>
          <w:t>jprubio20@hotmail.com</w:t>
        </w:r>
      </w:hyperlink>
      <w:r w:rsidRPr="00AE064D">
        <w:rPr>
          <w:rFonts w:cs="Times New Roman"/>
          <w:sz w:val="16"/>
          <w:szCs w:val="16"/>
        </w:rPr>
        <w:t xml:space="preserve"> </w:t>
      </w:r>
      <w:r w:rsidRPr="00AE064D">
        <w:rPr>
          <w:sz w:val="16"/>
          <w:szCs w:val="16"/>
        </w:rPr>
        <w:t xml:space="preserve">  </w:t>
      </w:r>
    </w:p>
    <w:p w14:paraId="3877C82B" w14:textId="4DD8F8F5" w:rsidR="00705A92" w:rsidRPr="00AE064D" w:rsidRDefault="00705A92" w:rsidP="00AE064D">
      <w:pPr>
        <w:pStyle w:val="Textonotapie"/>
        <w:rPr>
          <w:sz w:val="16"/>
          <w:szCs w:val="16"/>
        </w:rPr>
      </w:pPr>
      <w:r w:rsidRPr="00AE064D">
        <w:rPr>
          <w:sz w:val="16"/>
          <w:szCs w:val="16"/>
          <w:vertAlign w:val="superscript"/>
        </w:rPr>
        <w:t>2</w:t>
      </w:r>
      <w:r w:rsidRPr="00AE064D">
        <w:rPr>
          <w:sz w:val="16"/>
          <w:szCs w:val="16"/>
        </w:rPr>
        <w:t xml:space="preserve"> Estudiante de la Carrera de Enfermería de la Facultad de Ciencias Médicas de la Universidad Central del Ecuador. Ecuador. Email: </w:t>
      </w:r>
      <w:hyperlink r:id="rId2" w:history="1">
        <w:r w:rsidRPr="00AE064D">
          <w:rPr>
            <w:rStyle w:val="Hipervnculo"/>
            <w:sz w:val="16"/>
            <w:szCs w:val="16"/>
            <w:u w:val="none"/>
          </w:rPr>
          <w:t>aleja2012_idrobo@hotmail.es</w:t>
        </w:r>
      </w:hyperlink>
    </w:p>
  </w:footnote>
  <w:footnote w:id="2">
    <w:p w14:paraId="6646E60C" w14:textId="37FB4739" w:rsidR="00705A92" w:rsidRPr="00AE064D" w:rsidRDefault="00705A92" w:rsidP="00AE064D">
      <w:pPr>
        <w:pStyle w:val="Textonotapie"/>
        <w:tabs>
          <w:tab w:val="left" w:pos="1486"/>
        </w:tabs>
        <w:rPr>
          <w:sz w:val="16"/>
          <w:szCs w:val="16"/>
        </w:rPr>
      </w:pPr>
    </w:p>
  </w:footnote>
  <w:footnote w:id="3">
    <w:p w14:paraId="48F43EB0" w14:textId="61DD39B6" w:rsidR="00705A92" w:rsidRPr="00AE064D" w:rsidRDefault="00705A92" w:rsidP="00AE064D">
      <w:pPr>
        <w:pStyle w:val="Textonotapie"/>
        <w:rPr>
          <w:sz w:val="16"/>
          <w:szCs w:val="16"/>
        </w:rPr>
      </w:pPr>
      <w:r w:rsidRPr="00AE064D">
        <w:rPr>
          <w:rStyle w:val="Refdenotaalpie"/>
          <w:sz w:val="16"/>
          <w:szCs w:val="16"/>
        </w:rPr>
        <w:footnoteRef/>
      </w:r>
      <w:r w:rsidRPr="00AE064D">
        <w:rPr>
          <w:sz w:val="16"/>
          <w:szCs w:val="16"/>
        </w:rPr>
        <w:t xml:space="preserve"> Doctora en Medicina, Magister en Alimentación y Nutrición Humana, Docente Titular en la Facultad de Ciencias Médicas de la Universidad Central del Ecuador. Ecuador. Email: </w:t>
      </w:r>
      <w:hyperlink r:id="rId3" w:history="1">
        <w:r w:rsidRPr="00AE064D">
          <w:rPr>
            <w:rStyle w:val="Hipervnculo"/>
            <w:sz w:val="16"/>
            <w:szCs w:val="16"/>
            <w:u w:val="none"/>
          </w:rPr>
          <w:t>isvillota@uce.edu.ec</w:t>
        </w:r>
      </w:hyperlink>
      <w:r w:rsidRPr="00AE064D">
        <w:rPr>
          <w:sz w:val="16"/>
          <w:szCs w:val="16"/>
        </w:rPr>
        <w:t xml:space="preserve">  </w:t>
      </w:r>
    </w:p>
  </w:footnote>
  <w:footnote w:id="4">
    <w:p w14:paraId="5D15C818" w14:textId="21226480" w:rsidR="00705A92" w:rsidRPr="00AE064D" w:rsidRDefault="00705A92" w:rsidP="00AE064D">
      <w:pPr>
        <w:pStyle w:val="Textonotapie"/>
        <w:rPr>
          <w:sz w:val="16"/>
          <w:szCs w:val="16"/>
        </w:rPr>
      </w:pPr>
      <w:r w:rsidRPr="00AE064D">
        <w:rPr>
          <w:rStyle w:val="Refdenotaalpie"/>
          <w:sz w:val="16"/>
          <w:szCs w:val="16"/>
        </w:rPr>
        <w:footnoteRef/>
      </w:r>
      <w:r w:rsidRPr="00AE064D">
        <w:rPr>
          <w:sz w:val="16"/>
          <w:szCs w:val="16"/>
        </w:rPr>
        <w:t xml:space="preserve"> Magister en Ciencias, Docente titular en la Facultad de Ciencias Médicas de la Universidad Central del Ecuador. Ecuador. Email: </w:t>
      </w:r>
      <w:hyperlink r:id="rId4" w:history="1">
        <w:r w:rsidRPr="00AE064D">
          <w:rPr>
            <w:rStyle w:val="Hipervnculo"/>
            <w:sz w:val="16"/>
            <w:szCs w:val="16"/>
            <w:u w:val="none"/>
          </w:rPr>
          <w:t>rrrojasj@uce.edu.ec</w:t>
        </w:r>
      </w:hyperlink>
      <w:r w:rsidRPr="00AE064D">
        <w:rPr>
          <w:sz w:val="16"/>
          <w:szCs w:val="16"/>
        </w:rPr>
        <w:t xml:space="preserve">  </w:t>
      </w:r>
    </w:p>
    <w:p w14:paraId="27AA189D" w14:textId="77777777" w:rsidR="00705A92" w:rsidRDefault="00705A92" w:rsidP="00AE064D">
      <w:pPr>
        <w:pStyle w:val="Textonotapie"/>
      </w:pPr>
    </w:p>
    <w:p w14:paraId="437EF4FC" w14:textId="77777777" w:rsidR="00705A92" w:rsidRDefault="00705A92" w:rsidP="00AE064D">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705A92"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705A92" w:rsidRPr="00477654" w:rsidRDefault="00705A92"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705A92" w:rsidRDefault="00705A92" w:rsidP="007719E5">
          <w:pPr>
            <w:pStyle w:val="Encabezado"/>
            <w:rPr>
              <w:color w:val="76923C" w:themeColor="accent3" w:themeShade="BF"/>
              <w:sz w:val="24"/>
            </w:rPr>
          </w:pPr>
        </w:p>
      </w:tc>
    </w:tr>
  </w:tbl>
  <w:p w14:paraId="52C54BCE" w14:textId="77777777" w:rsidR="00705A92" w:rsidRDefault="00705A9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1700"/>
      <w:gridCol w:w="6693"/>
    </w:tblGrid>
    <w:tr w:rsidR="00705A92" w14:paraId="63CDC4D1" w14:textId="77777777" w:rsidTr="00AE064D">
      <w:tc>
        <w:tcPr>
          <w:tcW w:w="1013" w:type="pct"/>
          <w:tcBorders>
            <w:bottom w:val="single" w:sz="4" w:space="0" w:color="auto"/>
          </w:tcBorders>
          <w:vAlign w:val="bottom"/>
        </w:tcPr>
        <w:p w14:paraId="131DC852" w14:textId="77777777" w:rsidR="00705A92" w:rsidRPr="00660499" w:rsidRDefault="00705A92">
          <w:pPr>
            <w:pStyle w:val="Encabezado"/>
            <w:jc w:val="right"/>
            <w:rPr>
              <w:color w:val="FFFFFF" w:themeColor="background1"/>
              <w:sz w:val="24"/>
              <w:szCs w:val="24"/>
            </w:rPr>
          </w:pPr>
        </w:p>
      </w:tc>
      <w:tc>
        <w:tcPr>
          <w:tcW w:w="3987" w:type="pct"/>
          <w:tcBorders>
            <w:bottom w:val="single" w:sz="4" w:space="0" w:color="943634" w:themeColor="accent2" w:themeShade="BF"/>
          </w:tcBorders>
          <w:shd w:val="clear" w:color="auto" w:fill="C00000"/>
          <w:vAlign w:val="bottom"/>
        </w:tcPr>
        <w:p w14:paraId="789AC03C" w14:textId="1D54D8C0" w:rsidR="00705A92" w:rsidRPr="00A57D00" w:rsidRDefault="00705A92" w:rsidP="00AE064D">
          <w:pPr>
            <w:spacing w:after="0" w:line="240" w:lineRule="auto"/>
            <w:ind w:firstLine="284"/>
            <w:jc w:val="right"/>
            <w:rPr>
              <w:rFonts w:ascii="Arial" w:hAnsi="Arial" w:cs="Arial"/>
              <w:b/>
              <w:bCs/>
              <w:i/>
              <w:color w:val="FFFFFF" w:themeColor="background1"/>
              <w:sz w:val="20"/>
              <w:szCs w:val="24"/>
              <w:lang w:val="es-EC"/>
            </w:rPr>
          </w:pPr>
          <w:r w:rsidRPr="00AE064D">
            <w:rPr>
              <w:rFonts w:ascii="Arial" w:hAnsi="Arial" w:cs="Arial"/>
              <w:b/>
              <w:bCs/>
              <w:i/>
              <w:iCs/>
              <w:color w:val="FFFFFF" w:themeColor="background1"/>
              <w:sz w:val="20"/>
              <w:szCs w:val="24"/>
              <w:lang w:val="es-EC"/>
            </w:rPr>
            <w:t>Jeimmy Rubio / Lorena Chicaiza / Imelda Villota / Ramiro Rojas</w:t>
          </w:r>
          <w:r>
            <w:rPr>
              <w:rFonts w:ascii="Arial" w:hAnsi="Arial" w:cs="Arial"/>
              <w:b/>
              <w:bCs/>
              <w:i/>
              <w:color w:val="FFFFFF" w:themeColor="background1"/>
              <w:sz w:val="20"/>
              <w:szCs w:val="24"/>
              <w:lang w:val="es-EC"/>
            </w:rPr>
            <w:t xml:space="preserve"> </w:t>
          </w:r>
        </w:p>
      </w:tc>
    </w:tr>
  </w:tbl>
  <w:p w14:paraId="68046C0D" w14:textId="77777777" w:rsidR="00705A92" w:rsidRDefault="00705A92"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B2CFC" w14:textId="77777777" w:rsidR="00705A92" w:rsidRDefault="00705A92" w:rsidP="00406CD9">
    <w:pPr>
      <w:pStyle w:val="Encabezado"/>
      <w:tabs>
        <w:tab w:val="clear" w:pos="4252"/>
        <w:tab w:val="clear" w:pos="8504"/>
        <w:tab w:val="left" w:pos="5090"/>
      </w:tabs>
      <w:ind w:right="-24"/>
    </w:pPr>
    <w:r>
      <w:rPr>
        <w:noProof/>
        <w:lang w:val="en-US"/>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77777777" w:rsidR="00705A92" w:rsidRPr="00F060AC" w:rsidRDefault="00A127CD" w:rsidP="009B17A7">
                          <w:pPr>
                            <w:spacing w:after="0" w:line="240" w:lineRule="auto"/>
                            <w:ind w:right="-244"/>
                            <w:jc w:val="center"/>
                            <w:rPr>
                              <w:b/>
                              <w:color w:val="943634" w:themeColor="accent2" w:themeShade="BF"/>
                              <w:sz w:val="16"/>
                            </w:rPr>
                          </w:pPr>
                          <w:r>
                            <w:fldChar w:fldCharType="begin"/>
                          </w:r>
                          <w:r>
                            <w:instrText xml:space="preserve"> HYPERLINK "http://retosdelaciencia.com" </w:instrText>
                          </w:r>
                          <w:r>
                            <w:fldChar w:fldCharType="separate"/>
                          </w:r>
                          <w:r w:rsidR="00705A92" w:rsidRPr="00F060AC">
                            <w:rPr>
                              <w:b/>
                              <w:color w:val="943634" w:themeColor="accent2" w:themeShade="BF"/>
                              <w:sz w:val="16"/>
                            </w:rPr>
                            <w:t>http://retosdelaciencia.com</w:t>
                          </w:r>
                          <w:r>
                            <w:rPr>
                              <w:b/>
                              <w:color w:val="943634" w:themeColor="accent2" w:themeShade="BF"/>
                              <w:sz w:val="16"/>
                            </w:rPr>
                            <w:fldChar w:fldCharType="end"/>
                          </w:r>
                        </w:p>
                        <w:p w14:paraId="4CBDAB3F" w14:textId="77777777" w:rsidR="00705A92" w:rsidRPr="00F060AC" w:rsidRDefault="00705A92"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A66BC"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14:paraId="13555C2B" w14:textId="77777777" w:rsidR="00705A92" w:rsidRPr="00F060AC" w:rsidRDefault="00705A92" w:rsidP="009B17A7">
                    <w:pPr>
                      <w:spacing w:after="0" w:line="240" w:lineRule="auto"/>
                      <w:ind w:right="-244"/>
                      <w:jc w:val="center"/>
                      <w:rPr>
                        <w:b/>
                        <w:color w:val="943634" w:themeColor="accent2" w:themeShade="BF"/>
                        <w:sz w:val="16"/>
                      </w:rPr>
                    </w:pPr>
                    <w:hyperlink r:id="rId4" w:history="1">
                      <w:r w:rsidRPr="00F060AC">
                        <w:rPr>
                          <w:b/>
                          <w:color w:val="943634" w:themeColor="accent2" w:themeShade="BF"/>
                          <w:sz w:val="16"/>
                        </w:rPr>
                        <w:t>http://retosdelaciencia.com</w:t>
                      </w:r>
                    </w:hyperlink>
                  </w:p>
                  <w:p w14:paraId="4CBDAB3F" w14:textId="77777777" w:rsidR="00705A92" w:rsidRPr="00F060AC" w:rsidRDefault="00705A92"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6192" behindDoc="0" locked="0" layoutInCell="1" allowOverlap="1" wp14:anchorId="2F865DB3" wp14:editId="50C56B3A">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2096" behindDoc="0" locked="0" layoutInCell="1" allowOverlap="1" wp14:anchorId="40AF69AF" wp14:editId="247641B5">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val="en-US"/>
      </w:rPr>
      <mc:AlternateContent>
        <mc:Choice Requires="wps">
          <w:drawing>
            <wp:anchor distT="0" distB="0" distL="114300" distR="114300" simplePos="0" relativeHeight="251654144" behindDoc="0" locked="0" layoutInCell="1" allowOverlap="1" wp14:anchorId="67C37C24" wp14:editId="517E648B">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1F704A59" w14:textId="77777777" w:rsidR="00705A92" w:rsidRPr="00F060AC" w:rsidRDefault="00705A92"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 xml:space="preserve">Enero – </w:t>
                          </w:r>
                          <w:proofErr w:type="gramStart"/>
                          <w:r>
                            <w:rPr>
                              <w:b/>
                              <w:color w:val="943634" w:themeColor="accent2" w:themeShade="BF"/>
                            </w:rPr>
                            <w:t>Junio</w:t>
                          </w:r>
                          <w:proofErr w:type="gramEnd"/>
                          <w:r>
                            <w:rPr>
                              <w:b/>
                              <w:color w:val="943634" w:themeColor="accent2" w:themeShade="BF"/>
                            </w:rPr>
                            <w:t xml:space="preserve"> 2019</w:t>
                          </w:r>
                        </w:p>
                        <w:p w14:paraId="31E0EFDB" w14:textId="77777777" w:rsidR="00705A92" w:rsidRPr="00F060AC" w:rsidRDefault="00705A92"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1</w:t>
                          </w:r>
                        </w:p>
                        <w:p w14:paraId="1D5E6EE4" w14:textId="77777777" w:rsidR="00705A92" w:rsidRPr="009B17A7" w:rsidRDefault="00705A92"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C37C24"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14:paraId="1F704A59" w14:textId="77777777" w:rsidR="00705A92" w:rsidRPr="00F060AC" w:rsidRDefault="00705A92"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Enero – Junio 2019</w:t>
                    </w:r>
                  </w:p>
                  <w:p w14:paraId="31E0EFDB" w14:textId="77777777" w:rsidR="00705A92" w:rsidRPr="00F060AC" w:rsidRDefault="00705A92"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1</w:t>
                    </w:r>
                  </w:p>
                  <w:p w14:paraId="1D5E6EE4" w14:textId="77777777" w:rsidR="00705A92" w:rsidRPr="009B17A7" w:rsidRDefault="00705A92"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1.25pt;height:11.25pt" o:bullet="t">
        <v:imagedata r:id="rId1" o:title="mso706C"/>
      </v:shape>
    </w:pict>
  </w:numPicBullet>
  <w:abstractNum w:abstractNumId="0" w15:restartNumberingAfterBreak="0">
    <w:nsid w:val="036975D4"/>
    <w:multiLevelType w:val="multilevel"/>
    <w:tmpl w:val="209EB4C8"/>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 w15:restartNumberingAfterBreak="0">
    <w:nsid w:val="04684822"/>
    <w:multiLevelType w:val="hybridMultilevel"/>
    <w:tmpl w:val="540E19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D90A39"/>
    <w:multiLevelType w:val="hybridMultilevel"/>
    <w:tmpl w:val="C8BC47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F527F2F"/>
    <w:multiLevelType w:val="hybridMultilevel"/>
    <w:tmpl w:val="36BE9C82"/>
    <w:lvl w:ilvl="0" w:tplc="3F1C9CC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09E1EC3"/>
    <w:multiLevelType w:val="multilevel"/>
    <w:tmpl w:val="B1A207F0"/>
    <w:lvl w:ilvl="0">
      <w:start w:val="3"/>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4152894"/>
    <w:multiLevelType w:val="hybridMultilevel"/>
    <w:tmpl w:val="C512DCE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19BE30F3"/>
    <w:multiLevelType w:val="hybridMultilevel"/>
    <w:tmpl w:val="B1405A56"/>
    <w:lvl w:ilvl="0" w:tplc="51524BF8">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75435E"/>
    <w:multiLevelType w:val="hybridMultilevel"/>
    <w:tmpl w:val="72BE762A"/>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70884"/>
    <w:multiLevelType w:val="hybridMultilevel"/>
    <w:tmpl w:val="BCEE95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2BED5E84"/>
    <w:multiLevelType w:val="multilevel"/>
    <w:tmpl w:val="7242B222"/>
    <w:lvl w:ilvl="0">
      <w:start w:val="2"/>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62718C"/>
    <w:multiLevelType w:val="multilevel"/>
    <w:tmpl w:val="5D0ADEAA"/>
    <w:lvl w:ilvl="0">
      <w:start w:val="1"/>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2DB70A2D"/>
    <w:multiLevelType w:val="hybridMultilevel"/>
    <w:tmpl w:val="D710315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36B463E6"/>
    <w:multiLevelType w:val="hybridMultilevel"/>
    <w:tmpl w:val="8884D2D0"/>
    <w:lvl w:ilvl="0" w:tplc="300A0001">
      <w:start w:val="1"/>
      <w:numFmt w:val="bullet"/>
      <w:lvlText w:val=""/>
      <w:lvlJc w:val="left"/>
      <w:pPr>
        <w:ind w:left="1428" w:hanging="360"/>
      </w:pPr>
      <w:rPr>
        <w:rFonts w:ascii="Symbol" w:hAnsi="Symbol"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15:restartNumberingAfterBreak="0">
    <w:nsid w:val="3B8218AA"/>
    <w:multiLevelType w:val="hybridMultilevel"/>
    <w:tmpl w:val="E2765DA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15:restartNumberingAfterBreak="0">
    <w:nsid w:val="4B5E09EE"/>
    <w:multiLevelType w:val="hybridMultilevel"/>
    <w:tmpl w:val="5E36970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D0A4F9C"/>
    <w:multiLevelType w:val="multilevel"/>
    <w:tmpl w:val="9E20D4CA"/>
    <w:lvl w:ilvl="0">
      <w:start w:val="1"/>
      <w:numFmt w:val="decimal"/>
      <w:lvlText w:val="%1"/>
      <w:lvlJc w:val="left"/>
      <w:pPr>
        <w:ind w:left="8654" w:hanging="432"/>
      </w:pPr>
    </w:lvl>
    <w:lvl w:ilvl="1">
      <w:start w:val="1"/>
      <w:numFmt w:val="decimal"/>
      <w:lvlText w:val="%1.%2"/>
      <w:lvlJc w:val="left"/>
      <w:pPr>
        <w:ind w:left="1995" w:hanging="576"/>
      </w:pPr>
    </w:lvl>
    <w:lvl w:ilvl="2">
      <w:start w:val="1"/>
      <w:numFmt w:val="decimal"/>
      <w:lvlText w:val="%1.%2.%3"/>
      <w:lvlJc w:val="left"/>
      <w:pPr>
        <w:ind w:left="720" w:hanging="720"/>
      </w:pPr>
      <w:rPr>
        <w:color w:val="auto"/>
        <w:lang w:val="es-EC"/>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A3E52EA"/>
    <w:multiLevelType w:val="hybridMultilevel"/>
    <w:tmpl w:val="BDB20812"/>
    <w:lvl w:ilvl="0" w:tplc="30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18" w15:restartNumberingAfterBreak="0">
    <w:nsid w:val="5E1510DD"/>
    <w:multiLevelType w:val="hybridMultilevel"/>
    <w:tmpl w:val="51B6431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686A010A"/>
    <w:multiLevelType w:val="multilevel"/>
    <w:tmpl w:val="875A2C82"/>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lvlText w:val="%1.%2.%3"/>
      <w:lvlJc w:val="left"/>
      <w:pPr>
        <w:ind w:left="100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CA375A2"/>
    <w:multiLevelType w:val="hybridMultilevel"/>
    <w:tmpl w:val="0D56024E"/>
    <w:lvl w:ilvl="0" w:tplc="1818A494">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2" w15:restartNumberingAfterBreak="0">
    <w:nsid w:val="7347334C"/>
    <w:multiLevelType w:val="multilevel"/>
    <w:tmpl w:val="6BD65792"/>
    <w:lvl w:ilvl="0">
      <w:start w:val="1"/>
      <w:numFmt w:val="bullet"/>
      <w:lvlText w:val=""/>
      <w:lvlJc w:val="left"/>
      <w:pPr>
        <w:ind w:left="480" w:hanging="480"/>
      </w:pPr>
      <w:rPr>
        <w:rFonts w:ascii="Symbol" w:hAnsi="Symbol"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7C3F58BD"/>
    <w:multiLevelType w:val="hybridMultilevel"/>
    <w:tmpl w:val="1BFC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5" w15:restartNumberingAfterBreak="0">
    <w:nsid w:val="7CE70095"/>
    <w:multiLevelType w:val="hybridMultilevel"/>
    <w:tmpl w:val="FC920E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17"/>
  </w:num>
  <w:num w:numId="4">
    <w:abstractNumId w:val="19"/>
  </w:num>
  <w:num w:numId="5">
    <w:abstractNumId w:val="16"/>
  </w:num>
  <w:num w:numId="6">
    <w:abstractNumId w:val="15"/>
  </w:num>
  <w:num w:numId="7">
    <w:abstractNumId w:val="0"/>
  </w:num>
  <w:num w:numId="8">
    <w:abstractNumId w:val="18"/>
  </w:num>
  <w:num w:numId="9">
    <w:abstractNumId w:val="14"/>
  </w:num>
  <w:num w:numId="10">
    <w:abstractNumId w:val="2"/>
  </w:num>
  <w:num w:numId="11">
    <w:abstractNumId w:val="9"/>
  </w:num>
  <w:num w:numId="12">
    <w:abstractNumId w:val="20"/>
  </w:num>
  <w:num w:numId="13">
    <w:abstractNumId w:val="7"/>
  </w:num>
  <w:num w:numId="14">
    <w:abstractNumId w:val="4"/>
  </w:num>
  <w:num w:numId="15">
    <w:abstractNumId w:val="12"/>
  </w:num>
  <w:num w:numId="16">
    <w:abstractNumId w:val="3"/>
  </w:num>
  <w:num w:numId="17">
    <w:abstractNumId w:val="8"/>
  </w:num>
  <w:num w:numId="18">
    <w:abstractNumId w:val="1"/>
  </w:num>
  <w:num w:numId="19">
    <w:abstractNumId w:val="25"/>
  </w:num>
  <w:num w:numId="20">
    <w:abstractNumId w:val="6"/>
  </w:num>
  <w:num w:numId="21">
    <w:abstractNumId w:val="10"/>
  </w:num>
  <w:num w:numId="22">
    <w:abstractNumId w:val="5"/>
  </w:num>
  <w:num w:numId="23">
    <w:abstractNumId w:val="23"/>
  </w:num>
  <w:num w:numId="24">
    <w:abstractNumId w:val="11"/>
  </w:num>
  <w:num w:numId="25">
    <w:abstractNumId w:val="22"/>
  </w:num>
  <w:num w:numId="26">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EF9"/>
    <w:rsid w:val="000110E5"/>
    <w:rsid w:val="000164AF"/>
    <w:rsid w:val="00020BE7"/>
    <w:rsid w:val="000361C4"/>
    <w:rsid w:val="00042B81"/>
    <w:rsid w:val="000558C0"/>
    <w:rsid w:val="00066A77"/>
    <w:rsid w:val="00067D3E"/>
    <w:rsid w:val="000713F5"/>
    <w:rsid w:val="00080356"/>
    <w:rsid w:val="000838B2"/>
    <w:rsid w:val="00092057"/>
    <w:rsid w:val="00093439"/>
    <w:rsid w:val="00095D16"/>
    <w:rsid w:val="000C480F"/>
    <w:rsid w:val="000D22DD"/>
    <w:rsid w:val="000D682A"/>
    <w:rsid w:val="000E2AB9"/>
    <w:rsid w:val="000E602D"/>
    <w:rsid w:val="000F4B2A"/>
    <w:rsid w:val="00102F7E"/>
    <w:rsid w:val="00116AB0"/>
    <w:rsid w:val="001453CF"/>
    <w:rsid w:val="001B0901"/>
    <w:rsid w:val="001B13B6"/>
    <w:rsid w:val="001B2354"/>
    <w:rsid w:val="001C38AB"/>
    <w:rsid w:val="00207DE2"/>
    <w:rsid w:val="0021011F"/>
    <w:rsid w:val="00245C22"/>
    <w:rsid w:val="002577A5"/>
    <w:rsid w:val="002B5753"/>
    <w:rsid w:val="002C0047"/>
    <w:rsid w:val="002D2CFD"/>
    <w:rsid w:val="002E4AD6"/>
    <w:rsid w:val="002F49CF"/>
    <w:rsid w:val="00300DF7"/>
    <w:rsid w:val="00302EBF"/>
    <w:rsid w:val="003042EB"/>
    <w:rsid w:val="00323BB1"/>
    <w:rsid w:val="00332581"/>
    <w:rsid w:val="00335368"/>
    <w:rsid w:val="00346678"/>
    <w:rsid w:val="0036591A"/>
    <w:rsid w:val="00366230"/>
    <w:rsid w:val="00367018"/>
    <w:rsid w:val="00382D83"/>
    <w:rsid w:val="003A27DD"/>
    <w:rsid w:val="003A4EF9"/>
    <w:rsid w:val="003B6661"/>
    <w:rsid w:val="003B6CDB"/>
    <w:rsid w:val="003C1CD1"/>
    <w:rsid w:val="003D46B3"/>
    <w:rsid w:val="003F0E39"/>
    <w:rsid w:val="004016D7"/>
    <w:rsid w:val="00406CD9"/>
    <w:rsid w:val="00422874"/>
    <w:rsid w:val="0043380F"/>
    <w:rsid w:val="004349A6"/>
    <w:rsid w:val="00467727"/>
    <w:rsid w:val="00476CA5"/>
    <w:rsid w:val="00477654"/>
    <w:rsid w:val="004A72CE"/>
    <w:rsid w:val="004C4926"/>
    <w:rsid w:val="004C4A75"/>
    <w:rsid w:val="004D051F"/>
    <w:rsid w:val="004D6F02"/>
    <w:rsid w:val="004E43AE"/>
    <w:rsid w:val="004E6B70"/>
    <w:rsid w:val="004F2502"/>
    <w:rsid w:val="004F2D1C"/>
    <w:rsid w:val="00502F19"/>
    <w:rsid w:val="005106B6"/>
    <w:rsid w:val="00511442"/>
    <w:rsid w:val="00522B36"/>
    <w:rsid w:val="00533620"/>
    <w:rsid w:val="005463D8"/>
    <w:rsid w:val="00563B92"/>
    <w:rsid w:val="00565B2A"/>
    <w:rsid w:val="0057415E"/>
    <w:rsid w:val="005802B2"/>
    <w:rsid w:val="00592C4B"/>
    <w:rsid w:val="005D0922"/>
    <w:rsid w:val="005E3EA1"/>
    <w:rsid w:val="005E5B2F"/>
    <w:rsid w:val="005F74E6"/>
    <w:rsid w:val="006008DB"/>
    <w:rsid w:val="00603ECA"/>
    <w:rsid w:val="00605D24"/>
    <w:rsid w:val="00626296"/>
    <w:rsid w:val="006375EC"/>
    <w:rsid w:val="00641950"/>
    <w:rsid w:val="00660499"/>
    <w:rsid w:val="00662BB1"/>
    <w:rsid w:val="00666878"/>
    <w:rsid w:val="00672F74"/>
    <w:rsid w:val="00687B3C"/>
    <w:rsid w:val="00696308"/>
    <w:rsid w:val="006A3B9D"/>
    <w:rsid w:val="006A6FB1"/>
    <w:rsid w:val="006D0EC9"/>
    <w:rsid w:val="006D1655"/>
    <w:rsid w:val="006F2BD2"/>
    <w:rsid w:val="007034BB"/>
    <w:rsid w:val="00705A92"/>
    <w:rsid w:val="007072CA"/>
    <w:rsid w:val="0071230C"/>
    <w:rsid w:val="00712D6A"/>
    <w:rsid w:val="00713150"/>
    <w:rsid w:val="007171D6"/>
    <w:rsid w:val="007201F1"/>
    <w:rsid w:val="00726878"/>
    <w:rsid w:val="007314B4"/>
    <w:rsid w:val="0074251D"/>
    <w:rsid w:val="00744D1C"/>
    <w:rsid w:val="007472C8"/>
    <w:rsid w:val="007551FD"/>
    <w:rsid w:val="0076793E"/>
    <w:rsid w:val="007719E5"/>
    <w:rsid w:val="00774B5F"/>
    <w:rsid w:val="00775C04"/>
    <w:rsid w:val="00776A48"/>
    <w:rsid w:val="00780739"/>
    <w:rsid w:val="007A2470"/>
    <w:rsid w:val="007B3012"/>
    <w:rsid w:val="007C6204"/>
    <w:rsid w:val="007C7770"/>
    <w:rsid w:val="007D241B"/>
    <w:rsid w:val="00820E99"/>
    <w:rsid w:val="008346F9"/>
    <w:rsid w:val="00853534"/>
    <w:rsid w:val="00863344"/>
    <w:rsid w:val="008A0053"/>
    <w:rsid w:val="008B04AC"/>
    <w:rsid w:val="008C098C"/>
    <w:rsid w:val="008C0C8C"/>
    <w:rsid w:val="008C5185"/>
    <w:rsid w:val="008D1A32"/>
    <w:rsid w:val="009063AA"/>
    <w:rsid w:val="00914F08"/>
    <w:rsid w:val="009201B2"/>
    <w:rsid w:val="00952B91"/>
    <w:rsid w:val="00970268"/>
    <w:rsid w:val="009864AB"/>
    <w:rsid w:val="009911D5"/>
    <w:rsid w:val="009B17A7"/>
    <w:rsid w:val="009B7046"/>
    <w:rsid w:val="009B75D1"/>
    <w:rsid w:val="009E526A"/>
    <w:rsid w:val="009F1887"/>
    <w:rsid w:val="00A02E30"/>
    <w:rsid w:val="00A127CD"/>
    <w:rsid w:val="00A1780E"/>
    <w:rsid w:val="00A2031A"/>
    <w:rsid w:val="00A213C6"/>
    <w:rsid w:val="00A2366E"/>
    <w:rsid w:val="00A41ABC"/>
    <w:rsid w:val="00A421D4"/>
    <w:rsid w:val="00A50484"/>
    <w:rsid w:val="00A57D00"/>
    <w:rsid w:val="00A62470"/>
    <w:rsid w:val="00A62C10"/>
    <w:rsid w:val="00A77895"/>
    <w:rsid w:val="00A81D31"/>
    <w:rsid w:val="00A85FF8"/>
    <w:rsid w:val="00A94686"/>
    <w:rsid w:val="00A970C6"/>
    <w:rsid w:val="00A97614"/>
    <w:rsid w:val="00AA0A84"/>
    <w:rsid w:val="00AA0E19"/>
    <w:rsid w:val="00AA1936"/>
    <w:rsid w:val="00AC4071"/>
    <w:rsid w:val="00AE064D"/>
    <w:rsid w:val="00AE443C"/>
    <w:rsid w:val="00AF6DA3"/>
    <w:rsid w:val="00B05157"/>
    <w:rsid w:val="00B13639"/>
    <w:rsid w:val="00B22C0A"/>
    <w:rsid w:val="00B315AB"/>
    <w:rsid w:val="00B37A60"/>
    <w:rsid w:val="00B4046A"/>
    <w:rsid w:val="00B465F1"/>
    <w:rsid w:val="00B51FCC"/>
    <w:rsid w:val="00B578EE"/>
    <w:rsid w:val="00B777FC"/>
    <w:rsid w:val="00BA5BC1"/>
    <w:rsid w:val="00BA6E28"/>
    <w:rsid w:val="00BB1E26"/>
    <w:rsid w:val="00BB3CB2"/>
    <w:rsid w:val="00BC5FDD"/>
    <w:rsid w:val="00BC6481"/>
    <w:rsid w:val="00BD317E"/>
    <w:rsid w:val="00BE0C76"/>
    <w:rsid w:val="00C11C58"/>
    <w:rsid w:val="00C20FAE"/>
    <w:rsid w:val="00C232E7"/>
    <w:rsid w:val="00C373B5"/>
    <w:rsid w:val="00C41B22"/>
    <w:rsid w:val="00C577AE"/>
    <w:rsid w:val="00C60490"/>
    <w:rsid w:val="00C61FC6"/>
    <w:rsid w:val="00C62AE8"/>
    <w:rsid w:val="00C72483"/>
    <w:rsid w:val="00C73D04"/>
    <w:rsid w:val="00C73F3C"/>
    <w:rsid w:val="00C76968"/>
    <w:rsid w:val="00C769F2"/>
    <w:rsid w:val="00C833BA"/>
    <w:rsid w:val="00CA0317"/>
    <w:rsid w:val="00CA0B4A"/>
    <w:rsid w:val="00CB5961"/>
    <w:rsid w:val="00CC2BB3"/>
    <w:rsid w:val="00CD71EA"/>
    <w:rsid w:val="00D03768"/>
    <w:rsid w:val="00D221A9"/>
    <w:rsid w:val="00D22D07"/>
    <w:rsid w:val="00D31861"/>
    <w:rsid w:val="00D4496C"/>
    <w:rsid w:val="00D60ABE"/>
    <w:rsid w:val="00D64B77"/>
    <w:rsid w:val="00D85315"/>
    <w:rsid w:val="00D94A5B"/>
    <w:rsid w:val="00DB5BA8"/>
    <w:rsid w:val="00DD61EE"/>
    <w:rsid w:val="00DD7736"/>
    <w:rsid w:val="00DE527D"/>
    <w:rsid w:val="00DE6EF6"/>
    <w:rsid w:val="00DF1C5C"/>
    <w:rsid w:val="00E3072F"/>
    <w:rsid w:val="00E32799"/>
    <w:rsid w:val="00E34015"/>
    <w:rsid w:val="00E53A3B"/>
    <w:rsid w:val="00E93ACA"/>
    <w:rsid w:val="00E945BB"/>
    <w:rsid w:val="00E96C25"/>
    <w:rsid w:val="00EB496B"/>
    <w:rsid w:val="00EC5246"/>
    <w:rsid w:val="00ED13EC"/>
    <w:rsid w:val="00EE48F0"/>
    <w:rsid w:val="00EF131F"/>
    <w:rsid w:val="00EF42C1"/>
    <w:rsid w:val="00F021E9"/>
    <w:rsid w:val="00F060AC"/>
    <w:rsid w:val="00F42B6F"/>
    <w:rsid w:val="00F44007"/>
    <w:rsid w:val="00F51C50"/>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AE064D"/>
    <w:pPr>
      <w:keepNext/>
      <w:keepLines/>
      <w:spacing w:before="40" w:after="0" w:line="480" w:lineRule="auto"/>
      <w:ind w:left="1004" w:hanging="720"/>
      <w:outlineLvl w:val="2"/>
    </w:pPr>
    <w:rPr>
      <w:rFonts w:ascii="Times New Roman" w:eastAsiaTheme="majorEastAsia" w:hAnsi="Times New Roman" w:cstheme="majorBidi"/>
      <w:b/>
      <w:i/>
      <w:sz w:val="24"/>
      <w:szCs w:val="24"/>
    </w:rPr>
  </w:style>
  <w:style w:type="paragraph" w:styleId="Ttulo4">
    <w:name w:val="heading 4"/>
    <w:basedOn w:val="Ttulo3"/>
    <w:next w:val="Normal"/>
    <w:link w:val="Ttulo4Car"/>
    <w:uiPriority w:val="9"/>
    <w:unhideWhenUsed/>
    <w:qFormat/>
    <w:rsid w:val="00AE064D"/>
    <w:pPr>
      <w:ind w:left="864" w:hanging="864"/>
      <w:outlineLvl w:val="3"/>
    </w:pPr>
    <w:rPr>
      <w:rFonts w:cs="Times New Roman"/>
      <w:color w:val="000000" w:themeColor="text1"/>
    </w:rPr>
  </w:style>
  <w:style w:type="paragraph" w:styleId="Ttulo5">
    <w:name w:val="heading 5"/>
    <w:basedOn w:val="Normal"/>
    <w:next w:val="Normal"/>
    <w:link w:val="Ttulo5Car"/>
    <w:uiPriority w:val="9"/>
    <w:semiHidden/>
    <w:unhideWhenUsed/>
    <w:qFormat/>
    <w:rsid w:val="00AE064D"/>
    <w:pPr>
      <w:keepNext/>
      <w:keepLines/>
      <w:spacing w:before="40" w:after="0" w:line="259" w:lineRule="auto"/>
      <w:ind w:left="1008" w:hanging="1008"/>
      <w:outlineLvl w:val="4"/>
    </w:pPr>
    <w:rPr>
      <w:rFonts w:asciiTheme="majorHAnsi" w:eastAsiaTheme="majorEastAsia" w:hAnsiTheme="majorHAnsi" w:cstheme="majorBidi"/>
      <w:color w:val="365F91" w:themeColor="accent1" w:themeShade="BF"/>
      <w:sz w:val="24"/>
      <w:lang w:val="es-EC"/>
    </w:rPr>
  </w:style>
  <w:style w:type="paragraph" w:styleId="Ttulo6">
    <w:name w:val="heading 6"/>
    <w:basedOn w:val="Normal"/>
    <w:next w:val="Normal"/>
    <w:link w:val="Ttulo6Car"/>
    <w:uiPriority w:val="9"/>
    <w:semiHidden/>
    <w:unhideWhenUsed/>
    <w:qFormat/>
    <w:rsid w:val="00AE064D"/>
    <w:pPr>
      <w:keepNext/>
      <w:keepLines/>
      <w:spacing w:before="40" w:after="0" w:line="259" w:lineRule="auto"/>
      <w:ind w:left="1152" w:hanging="1152"/>
      <w:outlineLvl w:val="5"/>
    </w:pPr>
    <w:rPr>
      <w:rFonts w:asciiTheme="majorHAnsi" w:eastAsiaTheme="majorEastAsia" w:hAnsiTheme="majorHAnsi" w:cstheme="majorBidi"/>
      <w:color w:val="243F60" w:themeColor="accent1" w:themeShade="7F"/>
      <w:sz w:val="24"/>
      <w:lang w:val="es-EC"/>
    </w:rPr>
  </w:style>
  <w:style w:type="paragraph" w:styleId="Ttulo7">
    <w:name w:val="heading 7"/>
    <w:basedOn w:val="Normal"/>
    <w:next w:val="Normal"/>
    <w:link w:val="Ttulo7Car"/>
    <w:uiPriority w:val="9"/>
    <w:semiHidden/>
    <w:unhideWhenUsed/>
    <w:qFormat/>
    <w:rsid w:val="00AE064D"/>
    <w:pPr>
      <w:keepNext/>
      <w:keepLines/>
      <w:spacing w:before="40" w:after="0" w:line="259" w:lineRule="auto"/>
      <w:ind w:left="1296" w:hanging="1296"/>
      <w:outlineLvl w:val="6"/>
    </w:pPr>
    <w:rPr>
      <w:rFonts w:asciiTheme="majorHAnsi" w:eastAsiaTheme="majorEastAsia" w:hAnsiTheme="majorHAnsi" w:cstheme="majorBidi"/>
      <w:i/>
      <w:iCs/>
      <w:color w:val="243F60" w:themeColor="accent1" w:themeShade="7F"/>
      <w:sz w:val="24"/>
      <w:lang w:val="es-EC"/>
    </w:rPr>
  </w:style>
  <w:style w:type="paragraph" w:styleId="Ttulo8">
    <w:name w:val="heading 8"/>
    <w:basedOn w:val="Normal"/>
    <w:next w:val="Normal"/>
    <w:link w:val="Ttulo8Car"/>
    <w:uiPriority w:val="9"/>
    <w:semiHidden/>
    <w:unhideWhenUsed/>
    <w:qFormat/>
    <w:rsid w:val="00AE064D"/>
    <w:pPr>
      <w:keepNext/>
      <w:keepLines/>
      <w:spacing w:before="40" w:after="0" w:line="259" w:lineRule="auto"/>
      <w:ind w:left="1440" w:hanging="1440"/>
      <w:outlineLvl w:val="7"/>
    </w:pPr>
    <w:rPr>
      <w:rFonts w:asciiTheme="majorHAnsi" w:eastAsiaTheme="majorEastAsia" w:hAnsiTheme="majorHAnsi" w:cstheme="majorBidi"/>
      <w:color w:val="272727" w:themeColor="text1" w:themeTint="D8"/>
      <w:sz w:val="21"/>
      <w:szCs w:val="21"/>
      <w:lang w:val="es-EC"/>
    </w:rPr>
  </w:style>
  <w:style w:type="paragraph" w:styleId="Ttulo9">
    <w:name w:val="heading 9"/>
    <w:basedOn w:val="Normal"/>
    <w:next w:val="Normal"/>
    <w:link w:val="Ttulo9Car"/>
    <w:uiPriority w:val="9"/>
    <w:semiHidden/>
    <w:unhideWhenUsed/>
    <w:qFormat/>
    <w:rsid w:val="00AE064D"/>
    <w:pPr>
      <w:keepNext/>
      <w:keepLines/>
      <w:spacing w:before="40" w:after="0" w:line="259" w:lineRule="auto"/>
      <w:ind w:left="1584" w:hanging="1584"/>
      <w:outlineLvl w:val="8"/>
    </w:pPr>
    <w:rPr>
      <w:rFonts w:asciiTheme="majorHAnsi" w:eastAsiaTheme="majorEastAsia" w:hAnsiTheme="majorHAnsi" w:cstheme="majorBidi"/>
      <w:i/>
      <w:iCs/>
      <w:color w:val="272727" w:themeColor="text1" w:themeTint="D8"/>
      <w:sz w:val="21"/>
      <w:szCs w:val="21"/>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uiPriority w:val="9"/>
    <w:rsid w:val="00AE064D"/>
    <w:rPr>
      <w:rFonts w:ascii="Times New Roman" w:eastAsiaTheme="majorEastAsia" w:hAnsi="Times New Roman" w:cstheme="majorBidi"/>
      <w:b/>
      <w:i/>
      <w:sz w:val="24"/>
      <w:szCs w:val="24"/>
    </w:rPr>
  </w:style>
  <w:style w:type="character" w:customStyle="1" w:styleId="Ttulo4Car">
    <w:name w:val="Título 4 Car"/>
    <w:basedOn w:val="Fuentedeprrafopredeter"/>
    <w:link w:val="Ttulo4"/>
    <w:uiPriority w:val="9"/>
    <w:rsid w:val="00AE064D"/>
    <w:rPr>
      <w:rFonts w:ascii="Times New Roman" w:eastAsiaTheme="majorEastAsia" w:hAnsi="Times New Roman" w:cs="Times New Roman"/>
      <w:b/>
      <w:i/>
      <w:color w:val="000000" w:themeColor="text1"/>
      <w:sz w:val="24"/>
      <w:szCs w:val="24"/>
    </w:rPr>
  </w:style>
  <w:style w:type="character" w:customStyle="1" w:styleId="Ttulo5Car">
    <w:name w:val="Título 5 Car"/>
    <w:basedOn w:val="Fuentedeprrafopredeter"/>
    <w:link w:val="Ttulo5"/>
    <w:uiPriority w:val="9"/>
    <w:semiHidden/>
    <w:rsid w:val="00AE064D"/>
    <w:rPr>
      <w:rFonts w:asciiTheme="majorHAnsi" w:eastAsiaTheme="majorEastAsia" w:hAnsiTheme="majorHAnsi" w:cstheme="majorBidi"/>
      <w:color w:val="365F91" w:themeColor="accent1" w:themeShade="BF"/>
      <w:sz w:val="24"/>
      <w:lang w:val="es-EC"/>
    </w:rPr>
  </w:style>
  <w:style w:type="character" w:customStyle="1" w:styleId="Ttulo6Car">
    <w:name w:val="Título 6 Car"/>
    <w:basedOn w:val="Fuentedeprrafopredeter"/>
    <w:link w:val="Ttulo6"/>
    <w:uiPriority w:val="9"/>
    <w:semiHidden/>
    <w:rsid w:val="00AE064D"/>
    <w:rPr>
      <w:rFonts w:asciiTheme="majorHAnsi" w:eastAsiaTheme="majorEastAsia" w:hAnsiTheme="majorHAnsi" w:cstheme="majorBidi"/>
      <w:color w:val="243F60" w:themeColor="accent1" w:themeShade="7F"/>
      <w:sz w:val="24"/>
      <w:lang w:val="es-EC"/>
    </w:rPr>
  </w:style>
  <w:style w:type="character" w:customStyle="1" w:styleId="Ttulo7Car">
    <w:name w:val="Título 7 Car"/>
    <w:basedOn w:val="Fuentedeprrafopredeter"/>
    <w:link w:val="Ttulo7"/>
    <w:uiPriority w:val="9"/>
    <w:semiHidden/>
    <w:rsid w:val="00AE064D"/>
    <w:rPr>
      <w:rFonts w:asciiTheme="majorHAnsi" w:eastAsiaTheme="majorEastAsia" w:hAnsiTheme="majorHAnsi" w:cstheme="majorBidi"/>
      <w:i/>
      <w:iCs/>
      <w:color w:val="243F60" w:themeColor="accent1" w:themeShade="7F"/>
      <w:sz w:val="24"/>
      <w:lang w:val="es-EC"/>
    </w:rPr>
  </w:style>
  <w:style w:type="character" w:customStyle="1" w:styleId="Ttulo8Car">
    <w:name w:val="Título 8 Car"/>
    <w:basedOn w:val="Fuentedeprrafopredeter"/>
    <w:link w:val="Ttulo8"/>
    <w:uiPriority w:val="9"/>
    <w:semiHidden/>
    <w:rsid w:val="00AE064D"/>
    <w:rPr>
      <w:rFonts w:asciiTheme="majorHAnsi" w:eastAsiaTheme="majorEastAsia" w:hAnsiTheme="majorHAnsi" w:cstheme="majorBidi"/>
      <w:color w:val="272727" w:themeColor="text1" w:themeTint="D8"/>
      <w:sz w:val="21"/>
      <w:szCs w:val="21"/>
      <w:lang w:val="es-EC"/>
    </w:rPr>
  </w:style>
  <w:style w:type="character" w:customStyle="1" w:styleId="Ttulo9Car">
    <w:name w:val="Título 9 Car"/>
    <w:basedOn w:val="Fuentedeprrafopredeter"/>
    <w:link w:val="Ttulo9"/>
    <w:uiPriority w:val="9"/>
    <w:semiHidden/>
    <w:rsid w:val="00AE064D"/>
    <w:rPr>
      <w:rFonts w:asciiTheme="majorHAnsi" w:eastAsiaTheme="majorEastAsia" w:hAnsiTheme="majorHAnsi" w:cstheme="majorBidi"/>
      <w:i/>
      <w:iCs/>
      <w:color w:val="272727" w:themeColor="text1" w:themeTint="D8"/>
      <w:sz w:val="21"/>
      <w:szCs w:val="21"/>
      <w:lang w:val="es-EC"/>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لrrafo de lista,Párrafo de lista1,Pلrrafo de lista1"/>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character" w:customStyle="1" w:styleId="PrrafodelistaCar">
    <w:name w:val="Párrafo de lista Car"/>
    <w:aliases w:val="Pلrrafo de lista Car,Párrafo de lista1 Car,Pلrrafo de lista1 Car"/>
    <w:link w:val="Prrafodelista"/>
    <w:uiPriority w:val="34"/>
    <w:rsid w:val="00AE064D"/>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 w:type="character" w:customStyle="1" w:styleId="fonts">
    <w:name w:val="fonts"/>
    <w:basedOn w:val="Fuentedeprrafopredeter"/>
    <w:rsid w:val="00AE064D"/>
  </w:style>
  <w:style w:type="paragraph" w:styleId="TtuloTDC">
    <w:name w:val="TOC Heading"/>
    <w:basedOn w:val="Ttulo1"/>
    <w:next w:val="Normal"/>
    <w:uiPriority w:val="39"/>
    <w:unhideWhenUsed/>
    <w:qFormat/>
    <w:rsid w:val="00AE064D"/>
    <w:pPr>
      <w:keepNext/>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s-EC"/>
    </w:rPr>
  </w:style>
  <w:style w:type="paragraph" w:styleId="TDC2">
    <w:name w:val="toc 2"/>
    <w:basedOn w:val="Normal"/>
    <w:next w:val="Normal"/>
    <w:autoRedefine/>
    <w:uiPriority w:val="39"/>
    <w:unhideWhenUsed/>
    <w:rsid w:val="00AE064D"/>
    <w:pPr>
      <w:spacing w:after="100" w:line="259" w:lineRule="auto"/>
      <w:ind w:left="240"/>
    </w:pPr>
    <w:rPr>
      <w:rFonts w:ascii="Times New Roman" w:hAnsi="Times New Roman"/>
      <w:sz w:val="24"/>
      <w:lang w:val="es-EC"/>
    </w:rPr>
  </w:style>
  <w:style w:type="paragraph" w:styleId="TDC3">
    <w:name w:val="toc 3"/>
    <w:basedOn w:val="Normal"/>
    <w:next w:val="Normal"/>
    <w:autoRedefine/>
    <w:uiPriority w:val="39"/>
    <w:unhideWhenUsed/>
    <w:rsid w:val="00AE064D"/>
    <w:pPr>
      <w:spacing w:after="100" w:line="259" w:lineRule="auto"/>
      <w:ind w:left="480"/>
    </w:pPr>
    <w:rPr>
      <w:rFonts w:ascii="Times New Roman" w:hAnsi="Times New Roman"/>
      <w:sz w:val="24"/>
      <w:lang w:val="es-EC"/>
    </w:rPr>
  </w:style>
  <w:style w:type="paragraph" w:styleId="Tabladeilustraciones">
    <w:name w:val="table of figures"/>
    <w:basedOn w:val="Normal"/>
    <w:next w:val="Normal"/>
    <w:uiPriority w:val="99"/>
    <w:unhideWhenUsed/>
    <w:rsid w:val="00AE064D"/>
    <w:pPr>
      <w:spacing w:after="0" w:line="259" w:lineRule="auto"/>
    </w:pPr>
    <w:rPr>
      <w:rFonts w:ascii="Times New Roman" w:hAnsi="Times New Roman"/>
      <w:sz w:val="24"/>
      <w:lang w:val="es-EC"/>
    </w:rPr>
  </w:style>
  <w:style w:type="character" w:customStyle="1" w:styleId="HTMLconformatoprevioCar">
    <w:name w:val="HTML con formato previo Car"/>
    <w:basedOn w:val="Fuentedeprrafopredeter"/>
    <w:link w:val="HTMLconformatoprevio"/>
    <w:uiPriority w:val="99"/>
    <w:semiHidden/>
    <w:rsid w:val="00AE064D"/>
    <w:rPr>
      <w:rFonts w:ascii="Courier New" w:eastAsia="Times New Roman" w:hAnsi="Courier New" w:cs="Courier New"/>
      <w:sz w:val="20"/>
      <w:szCs w:val="20"/>
      <w:lang w:val="en-US"/>
    </w:rPr>
  </w:style>
  <w:style w:type="paragraph" w:styleId="HTMLconformatoprevio">
    <w:name w:val="HTML Preformatted"/>
    <w:basedOn w:val="Normal"/>
    <w:link w:val="HTMLconformatoprevioCar"/>
    <w:uiPriority w:val="99"/>
    <w:semiHidden/>
    <w:unhideWhenUsed/>
    <w:rsid w:val="00AE0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906016">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mailto:isvillota@uce.edu.ec" TargetMode="External"/><Relationship Id="rId2" Type="http://schemas.openxmlformats.org/officeDocument/2006/relationships/hyperlink" Target="mailto:aleja2012_idrobo@hotmail.es" TargetMode="External"/><Relationship Id="rId1" Type="http://schemas.openxmlformats.org/officeDocument/2006/relationships/hyperlink" Target="mailto:jprubio20@hotmail.com" TargetMode="External"/><Relationship Id="rId4" Type="http://schemas.openxmlformats.org/officeDocument/2006/relationships/hyperlink" Target="mailto:rrrojasj@uce.edu.ec"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creativecommons.org/licenses/by-sa/4.0/" TargetMode="External"/><Relationship Id="rId5" Type="http://schemas.openxmlformats.org/officeDocument/2006/relationships/image" Target="media/image3.jpeg"/><Relationship Id="rId4" Type="http://schemas.openxmlformats.org/officeDocument/2006/relationships/hyperlink" Target="http://retosdelaciencia.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openxmlformats.org/officeDocument/2006/relationships/oleObject" Target="file:///C:\Users\Rosado\Desktop\SEPTIMO\TESIS%20SEPTIMO\Lorena%20y%20Pamela\calculo%20de%20intervalos%20de%20conf%20en%20cualitativa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Rosado\Desktop\SEPTIMO\TESIS%20SEPTIMO\Lorena%20y%20Pamela\calculo%20de%20intervalos%20de%20conf%20en%20cualitativa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Rosado\Desktop\SEPTIMO\TESIS%20SEPTIMO\Lorena%20y%20Pamela\calculo%20de%20intervalos%20de%20conf%20en%20cualitativa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Ramiro\Dropbox\Universidad%20Central%20del%20Ecuador\Formaci&#243;n%20Continua%20-%20Ramiro%20Rojas\Curso%20de%20Redaccion%20de%20articulos%20cientificos%20febrero%202019\Nueva%20carpeta\cuadros%20art&#237;culo%20cientifico%2018%20de%20marzo%20del%202019.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Ramiro\Dropbox\Universidad%20Central%20del%20Ecuador\Formaci&#243;n%20Continua%20-%20Ramiro%20Rojas\Curso%20de%20Redaccion%20de%20articulos%20cientificos%20febrero%202019\Nueva%20carpeta\cuadros%20art&#237;culo%20cientifico%2018%20de%20marzo%20del%202019.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2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r>
              <a:rPr lang="es-EC" sz="1200" b="1">
                <a:solidFill>
                  <a:sysClr val="windowText" lastClr="000000"/>
                </a:solidFill>
                <a:latin typeface="Arial" panose="020B0604020202020204" pitchFamily="34" charset="0"/>
                <a:cs typeface="Arial" panose="020B0604020202020204" pitchFamily="34" charset="0"/>
              </a:rPr>
              <a:t>Grafica 1: </a:t>
            </a:r>
            <a:r>
              <a:rPr lang="es-EC" sz="1200" b="0">
                <a:solidFill>
                  <a:sysClr val="windowText" lastClr="000000"/>
                </a:solidFill>
                <a:latin typeface="Arial" panose="020B0604020202020204" pitchFamily="34" charset="0"/>
                <a:cs typeface="Arial" panose="020B0604020202020204" pitchFamily="34" charset="0"/>
              </a:rPr>
              <a:t>Consumo de café  por semestre</a:t>
            </a:r>
          </a:p>
        </c:rich>
      </c:tx>
      <c:overlay val="0"/>
      <c:spPr>
        <a:noFill/>
        <a:ln>
          <a:noFill/>
        </a:ln>
        <a:effectLst/>
      </c:spPr>
      <c:txPr>
        <a:bodyPr rot="0" spcFirstLastPara="1" vertOverflow="ellipsis" vert="horz" wrap="square" anchor="ctr" anchorCtr="1"/>
        <a:lstStyle/>
        <a:p>
          <a:pPr algn="ctr">
            <a:defRPr sz="12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es-EC"/>
        </a:p>
      </c:txPr>
    </c:title>
    <c:autoTitleDeleted val="0"/>
    <c:plotArea>
      <c:layout/>
      <c:barChart>
        <c:barDir val="col"/>
        <c:grouping val="clustered"/>
        <c:varyColors val="0"/>
        <c:ser>
          <c:idx val="0"/>
          <c:order val="0"/>
          <c:tx>
            <c:strRef>
              <c:f>Hoja1!$D$4</c:f>
              <c:strCache>
                <c:ptCount val="1"/>
                <c:pt idx="0">
                  <c:v>PORCENTAJE</c:v>
                </c:pt>
              </c:strCache>
            </c:strRef>
          </c:tx>
          <c:spPr>
            <a:solidFill>
              <a:srgbClr val="FFC000"/>
            </a:solidFill>
            <a:ln>
              <a:noFill/>
            </a:ln>
            <a:effectLst/>
          </c:spPr>
          <c:invertIfNegative val="0"/>
          <c:dPt>
            <c:idx val="1"/>
            <c:invertIfNegative val="0"/>
            <c:bubble3D val="0"/>
            <c:spPr>
              <a:solidFill>
                <a:srgbClr val="92D050"/>
              </a:solidFill>
              <a:ln>
                <a:noFill/>
              </a:ln>
              <a:effectLst/>
            </c:spPr>
            <c:extLst>
              <c:ext xmlns:c16="http://schemas.microsoft.com/office/drawing/2014/chart" uri="{C3380CC4-5D6E-409C-BE32-E72D297353CC}">
                <c16:uniqueId val="{00000001-FAB4-4536-9B9B-04FF8CE892B1}"/>
              </c:ext>
            </c:extLst>
          </c:dPt>
          <c:dPt>
            <c:idx val="2"/>
            <c:invertIfNegative val="0"/>
            <c:bubble3D val="0"/>
            <c:spPr>
              <a:solidFill>
                <a:srgbClr val="FF0000"/>
              </a:solidFill>
              <a:ln>
                <a:noFill/>
              </a:ln>
              <a:effectLst/>
            </c:spPr>
            <c:extLst>
              <c:ext xmlns:c16="http://schemas.microsoft.com/office/drawing/2014/chart" uri="{C3380CC4-5D6E-409C-BE32-E72D297353CC}">
                <c16:uniqueId val="{00000003-FAB4-4536-9B9B-04FF8CE892B1}"/>
              </c:ext>
            </c:extLst>
          </c:dPt>
          <c:dPt>
            <c:idx val="3"/>
            <c:invertIfNegative val="0"/>
            <c:bubble3D val="0"/>
            <c:spPr>
              <a:solidFill>
                <a:srgbClr val="00B0F0"/>
              </a:solidFill>
              <a:ln>
                <a:noFill/>
              </a:ln>
              <a:effectLst/>
            </c:spPr>
            <c:extLst>
              <c:ext xmlns:c16="http://schemas.microsoft.com/office/drawing/2014/chart" uri="{C3380CC4-5D6E-409C-BE32-E72D297353CC}">
                <c16:uniqueId val="{00000005-FAB4-4536-9B9B-04FF8CE892B1}"/>
              </c:ext>
            </c:extLst>
          </c:dPt>
          <c:dPt>
            <c:idx val="4"/>
            <c:invertIfNegative val="0"/>
            <c:bubble3D val="0"/>
            <c:spPr>
              <a:solidFill>
                <a:srgbClr val="9900CC"/>
              </a:solidFill>
              <a:ln>
                <a:noFill/>
              </a:ln>
              <a:effectLst/>
            </c:spPr>
            <c:extLst>
              <c:ext xmlns:c16="http://schemas.microsoft.com/office/drawing/2014/chart" uri="{C3380CC4-5D6E-409C-BE32-E72D297353CC}">
                <c16:uniqueId val="{00000007-FAB4-4536-9B9B-04FF8CE892B1}"/>
              </c:ext>
            </c:extLst>
          </c:dPt>
          <c:dPt>
            <c:idx val="5"/>
            <c:invertIfNegative val="0"/>
            <c:bubble3D val="0"/>
            <c:spPr>
              <a:solidFill>
                <a:srgbClr val="FFFF00"/>
              </a:solidFill>
              <a:ln>
                <a:noFill/>
              </a:ln>
              <a:effectLst/>
            </c:spPr>
            <c:extLst>
              <c:ext xmlns:c16="http://schemas.microsoft.com/office/drawing/2014/chart" uri="{C3380CC4-5D6E-409C-BE32-E72D297353CC}">
                <c16:uniqueId val="{00000009-FAB4-4536-9B9B-04FF8CE892B1}"/>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s-EC"/>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strRef>
              <c:f>Hoja1!$C$5:$C$10</c:f>
              <c:strCache>
                <c:ptCount val="6"/>
                <c:pt idx="0">
                  <c:v>PRIMERO</c:v>
                </c:pt>
                <c:pt idx="1">
                  <c:v>SEGUNDO</c:v>
                </c:pt>
                <c:pt idx="2">
                  <c:v>TERCERO</c:v>
                </c:pt>
                <c:pt idx="3">
                  <c:v>CUARTO</c:v>
                </c:pt>
                <c:pt idx="4">
                  <c:v>QUINTO</c:v>
                </c:pt>
                <c:pt idx="5">
                  <c:v>SEXTO</c:v>
                </c:pt>
              </c:strCache>
            </c:strRef>
          </c:cat>
          <c:val>
            <c:numRef>
              <c:f>Hoja1!$D$5:$D$10</c:f>
              <c:numCache>
                <c:formatCode>0%</c:formatCode>
                <c:ptCount val="6"/>
                <c:pt idx="0">
                  <c:v>0.92</c:v>
                </c:pt>
                <c:pt idx="1">
                  <c:v>0.84</c:v>
                </c:pt>
                <c:pt idx="2">
                  <c:v>0.93</c:v>
                </c:pt>
                <c:pt idx="3">
                  <c:v>0.81</c:v>
                </c:pt>
                <c:pt idx="4">
                  <c:v>0.76</c:v>
                </c:pt>
                <c:pt idx="5">
                  <c:v>0.8</c:v>
                </c:pt>
              </c:numCache>
            </c:numRef>
          </c:val>
          <c:extLst>
            <c:ext xmlns:c16="http://schemas.microsoft.com/office/drawing/2014/chart" uri="{C3380CC4-5D6E-409C-BE32-E72D297353CC}">
              <c16:uniqueId val="{0000000B-FAB4-4536-9B9B-04FF8CE892B1}"/>
            </c:ext>
          </c:extLst>
        </c:ser>
        <c:dLbls>
          <c:showLegendKey val="0"/>
          <c:showVal val="0"/>
          <c:showCatName val="0"/>
          <c:showSerName val="0"/>
          <c:showPercent val="0"/>
          <c:showBubbleSize val="0"/>
        </c:dLbls>
        <c:gapWidth val="219"/>
        <c:overlap val="-27"/>
        <c:axId val="-1359817040"/>
        <c:axId val="-1359827920"/>
      </c:barChart>
      <c:catAx>
        <c:axId val="-1359817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C"/>
          </a:p>
        </c:txPr>
        <c:crossAx val="-1359827920"/>
        <c:crosses val="autoZero"/>
        <c:auto val="1"/>
        <c:lblAlgn val="ctr"/>
        <c:lblOffset val="100"/>
        <c:noMultiLvlLbl val="0"/>
      </c:catAx>
      <c:valAx>
        <c:axId val="-1359827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C"/>
          </a:p>
        </c:txPr>
        <c:crossAx val="-13598170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Times New Roman" panose="02020603050405020304" pitchFamily="18" charset="0"/>
          <a:cs typeface="Times New Roman" panose="02020603050405020304" pitchFamily="18" charset="0"/>
        </a:defRPr>
      </a:pPr>
      <a:endParaRPr lang="es-EC"/>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Arial" panose="020B0604020202020204" pitchFamily="34" charset="0"/>
                <a:ea typeface="+mn-ea"/>
                <a:cs typeface="Arial" panose="020B0604020202020204" pitchFamily="34" charset="0"/>
              </a:defRPr>
            </a:pPr>
            <a:r>
              <a:rPr lang="es-EC" sz="1200" b="1" baseline="0">
                <a:latin typeface="Arial" panose="020B0604020202020204" pitchFamily="34" charset="0"/>
                <a:cs typeface="Arial" panose="020B0604020202020204" pitchFamily="34" charset="0"/>
              </a:rPr>
              <a:t>Gráfico 2: </a:t>
            </a:r>
            <a:r>
              <a:rPr lang="es-EC" sz="1200" b="0" baseline="0">
                <a:latin typeface="Arial" panose="020B0604020202020204" pitchFamily="34" charset="0"/>
                <a:cs typeface="Arial" panose="020B0604020202020204" pitchFamily="34" charset="0"/>
              </a:rPr>
              <a:t>Consumo de bebidas energeticas por semestre</a:t>
            </a:r>
          </a:p>
        </c:rich>
      </c:tx>
      <c:layout>
        <c:manualLayout>
          <c:xMode val="edge"/>
          <c:yMode val="edge"/>
          <c:x val="0.16136321318825783"/>
          <c:y val="2.7130906624463033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es-EC"/>
        </a:p>
      </c:tx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rgbClr val="FFC000"/>
              </a:solidFill>
              <a:ln>
                <a:noFill/>
              </a:ln>
              <a:effectLst/>
            </c:spPr>
            <c:extLst>
              <c:ext xmlns:c16="http://schemas.microsoft.com/office/drawing/2014/chart" uri="{C3380CC4-5D6E-409C-BE32-E72D297353CC}">
                <c16:uniqueId val="{00000001-E405-4043-B4F9-39F1EC616ED7}"/>
              </c:ext>
            </c:extLst>
          </c:dPt>
          <c:dPt>
            <c:idx val="1"/>
            <c:invertIfNegative val="0"/>
            <c:bubble3D val="0"/>
            <c:spPr>
              <a:solidFill>
                <a:srgbClr val="92D050"/>
              </a:solidFill>
              <a:ln>
                <a:noFill/>
              </a:ln>
              <a:effectLst/>
            </c:spPr>
            <c:extLst>
              <c:ext xmlns:c16="http://schemas.microsoft.com/office/drawing/2014/chart" uri="{C3380CC4-5D6E-409C-BE32-E72D297353CC}">
                <c16:uniqueId val="{00000003-E405-4043-B4F9-39F1EC616ED7}"/>
              </c:ext>
            </c:extLst>
          </c:dPt>
          <c:dPt>
            <c:idx val="2"/>
            <c:invertIfNegative val="0"/>
            <c:bubble3D val="0"/>
            <c:spPr>
              <a:solidFill>
                <a:srgbClr val="FF0000"/>
              </a:solidFill>
              <a:ln>
                <a:noFill/>
              </a:ln>
              <a:effectLst/>
            </c:spPr>
            <c:extLst>
              <c:ext xmlns:c16="http://schemas.microsoft.com/office/drawing/2014/chart" uri="{C3380CC4-5D6E-409C-BE32-E72D297353CC}">
                <c16:uniqueId val="{00000005-E405-4043-B4F9-39F1EC616ED7}"/>
              </c:ext>
            </c:extLst>
          </c:dPt>
          <c:dPt>
            <c:idx val="3"/>
            <c:invertIfNegative val="0"/>
            <c:bubble3D val="0"/>
            <c:spPr>
              <a:solidFill>
                <a:srgbClr val="00B0F0"/>
              </a:solidFill>
              <a:ln>
                <a:noFill/>
              </a:ln>
              <a:effectLst/>
            </c:spPr>
            <c:extLst>
              <c:ext xmlns:c16="http://schemas.microsoft.com/office/drawing/2014/chart" uri="{C3380CC4-5D6E-409C-BE32-E72D297353CC}">
                <c16:uniqueId val="{00000007-E405-4043-B4F9-39F1EC616ED7}"/>
              </c:ext>
            </c:extLst>
          </c:dPt>
          <c:dPt>
            <c:idx val="4"/>
            <c:invertIfNegative val="0"/>
            <c:bubble3D val="0"/>
            <c:spPr>
              <a:solidFill>
                <a:srgbClr val="9900CC"/>
              </a:solidFill>
              <a:ln>
                <a:noFill/>
              </a:ln>
              <a:effectLst/>
            </c:spPr>
            <c:extLst>
              <c:ext xmlns:c16="http://schemas.microsoft.com/office/drawing/2014/chart" uri="{C3380CC4-5D6E-409C-BE32-E72D297353CC}">
                <c16:uniqueId val="{00000009-E405-4043-B4F9-39F1EC616ED7}"/>
              </c:ext>
            </c:extLst>
          </c:dPt>
          <c:dPt>
            <c:idx val="5"/>
            <c:invertIfNegative val="0"/>
            <c:bubble3D val="0"/>
            <c:spPr>
              <a:solidFill>
                <a:srgbClr val="FFFF00"/>
              </a:solidFill>
              <a:ln>
                <a:noFill/>
              </a:ln>
              <a:effectLst/>
            </c:spPr>
            <c:extLst>
              <c:ext xmlns:c16="http://schemas.microsoft.com/office/drawing/2014/chart" uri="{C3380CC4-5D6E-409C-BE32-E72D297353CC}">
                <c16:uniqueId val="{0000000B-E405-4043-B4F9-39F1EC616ED7}"/>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strRef>
              <c:f>Hoja1!$C$15:$C$20</c:f>
              <c:strCache>
                <c:ptCount val="6"/>
                <c:pt idx="0">
                  <c:v>PRIMERO</c:v>
                </c:pt>
                <c:pt idx="1">
                  <c:v>SEGUNDO</c:v>
                </c:pt>
                <c:pt idx="2">
                  <c:v>TERCERO</c:v>
                </c:pt>
                <c:pt idx="3">
                  <c:v>CUARTO</c:v>
                </c:pt>
                <c:pt idx="4">
                  <c:v>QUINTO</c:v>
                </c:pt>
                <c:pt idx="5">
                  <c:v>SEXTO</c:v>
                </c:pt>
              </c:strCache>
            </c:strRef>
          </c:cat>
          <c:val>
            <c:numRef>
              <c:f>Hoja1!$D$15:$D$20</c:f>
              <c:numCache>
                <c:formatCode>0%</c:formatCode>
                <c:ptCount val="6"/>
                <c:pt idx="0">
                  <c:v>0.6</c:v>
                </c:pt>
                <c:pt idx="1">
                  <c:v>0.43</c:v>
                </c:pt>
                <c:pt idx="2">
                  <c:v>0.7</c:v>
                </c:pt>
                <c:pt idx="3">
                  <c:v>0.39</c:v>
                </c:pt>
                <c:pt idx="4">
                  <c:v>0.33</c:v>
                </c:pt>
                <c:pt idx="5">
                  <c:v>0.4</c:v>
                </c:pt>
              </c:numCache>
            </c:numRef>
          </c:val>
          <c:extLst>
            <c:ext xmlns:c16="http://schemas.microsoft.com/office/drawing/2014/chart" uri="{C3380CC4-5D6E-409C-BE32-E72D297353CC}">
              <c16:uniqueId val="{0000000D-E405-4043-B4F9-39F1EC616ED7}"/>
            </c:ext>
          </c:extLst>
        </c:ser>
        <c:dLbls>
          <c:dLblPos val="outEnd"/>
          <c:showLegendKey val="0"/>
          <c:showVal val="1"/>
          <c:showCatName val="0"/>
          <c:showSerName val="0"/>
          <c:showPercent val="0"/>
          <c:showBubbleSize val="0"/>
        </c:dLbls>
        <c:gapWidth val="219"/>
        <c:overlap val="-27"/>
        <c:axId val="-1359821936"/>
        <c:axId val="-1359811056"/>
      </c:barChart>
      <c:catAx>
        <c:axId val="-1359821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crossAx val="-1359811056"/>
        <c:crosses val="autoZero"/>
        <c:auto val="1"/>
        <c:lblAlgn val="ctr"/>
        <c:lblOffset val="100"/>
        <c:noMultiLvlLbl val="0"/>
      </c:catAx>
      <c:valAx>
        <c:axId val="-13598110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crossAx val="-13598219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ysClr val="windowText" lastClr="000000"/>
          </a:solidFill>
          <a:latin typeface="Times New Roman" panose="02020603050405020304" pitchFamily="18" charset="0"/>
          <a:cs typeface="Times New Roman" panose="02020603050405020304" pitchFamily="18" charset="0"/>
        </a:defRPr>
      </a:pPr>
      <a:endParaRPr lang="es-EC"/>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r>
              <a:rPr lang="en-US" sz="1200" b="1" baseline="0">
                <a:latin typeface="Arial" panose="020B0604020202020204" pitchFamily="34" charset="0"/>
                <a:cs typeface="Arial" panose="020B0604020202020204" pitchFamily="34" charset="0"/>
              </a:rPr>
              <a:t>Gráfico 3:</a:t>
            </a:r>
            <a:r>
              <a:rPr lang="en-US" sz="1200" b="0" baseline="0">
                <a:latin typeface="Arial" panose="020B0604020202020204" pitchFamily="34" charset="0"/>
                <a:cs typeface="Arial" panose="020B0604020202020204" pitchFamily="34" charset="0"/>
              </a:rPr>
              <a:t> Consumo de fármacos psicoestimulantes por semestre</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es-EC"/>
        </a:p>
      </c:txPr>
    </c:title>
    <c:autoTitleDeleted val="0"/>
    <c:plotArea>
      <c:layout/>
      <c:barChart>
        <c:barDir val="col"/>
        <c:grouping val="clustered"/>
        <c:varyColors val="0"/>
        <c:ser>
          <c:idx val="0"/>
          <c:order val="0"/>
          <c:tx>
            <c:strRef>
              <c:f>Hoja1!$D$24</c:f>
              <c:strCache>
                <c:ptCount val="1"/>
                <c:pt idx="0">
                  <c:v>PORCENTAJE</c:v>
                </c:pt>
              </c:strCache>
            </c:strRef>
          </c:tx>
          <c:spPr>
            <a:solidFill>
              <a:schemeClr val="accent1"/>
            </a:solidFill>
            <a:ln>
              <a:noFill/>
            </a:ln>
            <a:effectLst/>
          </c:spPr>
          <c:invertIfNegative val="0"/>
          <c:dPt>
            <c:idx val="0"/>
            <c:invertIfNegative val="0"/>
            <c:bubble3D val="0"/>
            <c:spPr>
              <a:solidFill>
                <a:srgbClr val="FFC000"/>
              </a:solidFill>
              <a:ln>
                <a:noFill/>
              </a:ln>
              <a:effectLst/>
            </c:spPr>
            <c:extLst>
              <c:ext xmlns:c16="http://schemas.microsoft.com/office/drawing/2014/chart" uri="{C3380CC4-5D6E-409C-BE32-E72D297353CC}">
                <c16:uniqueId val="{00000001-EA2D-46CF-BC85-7D3260864755}"/>
              </c:ext>
            </c:extLst>
          </c:dPt>
          <c:dPt>
            <c:idx val="1"/>
            <c:invertIfNegative val="0"/>
            <c:bubble3D val="0"/>
            <c:spPr>
              <a:solidFill>
                <a:srgbClr val="92D050"/>
              </a:solidFill>
              <a:ln>
                <a:noFill/>
              </a:ln>
              <a:effectLst/>
            </c:spPr>
            <c:extLst>
              <c:ext xmlns:c16="http://schemas.microsoft.com/office/drawing/2014/chart" uri="{C3380CC4-5D6E-409C-BE32-E72D297353CC}">
                <c16:uniqueId val="{00000003-EA2D-46CF-BC85-7D3260864755}"/>
              </c:ext>
            </c:extLst>
          </c:dPt>
          <c:dPt>
            <c:idx val="2"/>
            <c:invertIfNegative val="0"/>
            <c:bubble3D val="0"/>
            <c:spPr>
              <a:solidFill>
                <a:srgbClr val="FF0000"/>
              </a:solidFill>
              <a:ln>
                <a:noFill/>
              </a:ln>
              <a:effectLst/>
            </c:spPr>
            <c:extLst>
              <c:ext xmlns:c16="http://schemas.microsoft.com/office/drawing/2014/chart" uri="{C3380CC4-5D6E-409C-BE32-E72D297353CC}">
                <c16:uniqueId val="{00000005-EA2D-46CF-BC85-7D3260864755}"/>
              </c:ext>
            </c:extLst>
          </c:dPt>
          <c:dPt>
            <c:idx val="3"/>
            <c:invertIfNegative val="0"/>
            <c:bubble3D val="0"/>
            <c:spPr>
              <a:solidFill>
                <a:srgbClr val="00B0F0"/>
              </a:solidFill>
              <a:ln>
                <a:noFill/>
              </a:ln>
              <a:effectLst/>
            </c:spPr>
            <c:extLst>
              <c:ext xmlns:c16="http://schemas.microsoft.com/office/drawing/2014/chart" uri="{C3380CC4-5D6E-409C-BE32-E72D297353CC}">
                <c16:uniqueId val="{00000007-EA2D-46CF-BC85-7D3260864755}"/>
              </c:ext>
            </c:extLst>
          </c:dPt>
          <c:dPt>
            <c:idx val="4"/>
            <c:invertIfNegative val="0"/>
            <c:bubble3D val="0"/>
            <c:spPr>
              <a:solidFill>
                <a:srgbClr val="9900CC"/>
              </a:solidFill>
              <a:ln>
                <a:noFill/>
              </a:ln>
              <a:effectLst/>
            </c:spPr>
            <c:extLst>
              <c:ext xmlns:c16="http://schemas.microsoft.com/office/drawing/2014/chart" uri="{C3380CC4-5D6E-409C-BE32-E72D297353CC}">
                <c16:uniqueId val="{00000009-EA2D-46CF-BC85-7D3260864755}"/>
              </c:ext>
            </c:extLst>
          </c:dPt>
          <c:dPt>
            <c:idx val="5"/>
            <c:invertIfNegative val="0"/>
            <c:bubble3D val="0"/>
            <c:spPr>
              <a:solidFill>
                <a:srgbClr val="FFFF00"/>
              </a:solidFill>
              <a:ln>
                <a:noFill/>
              </a:ln>
              <a:effectLst/>
            </c:spPr>
            <c:extLst>
              <c:ext xmlns:c16="http://schemas.microsoft.com/office/drawing/2014/chart" uri="{C3380CC4-5D6E-409C-BE32-E72D297353CC}">
                <c16:uniqueId val="{0000000B-EA2D-46CF-BC85-7D3260864755}"/>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strRef>
              <c:f>Hoja1!$C$25:$C$30</c:f>
              <c:strCache>
                <c:ptCount val="6"/>
                <c:pt idx="0">
                  <c:v>PRIMERO</c:v>
                </c:pt>
                <c:pt idx="1">
                  <c:v>SEGUNDO</c:v>
                </c:pt>
                <c:pt idx="2">
                  <c:v>TERCERO</c:v>
                </c:pt>
                <c:pt idx="3">
                  <c:v>CUARTO</c:v>
                </c:pt>
                <c:pt idx="4">
                  <c:v>QUINTO</c:v>
                </c:pt>
                <c:pt idx="5">
                  <c:v>SEXTO</c:v>
                </c:pt>
              </c:strCache>
            </c:strRef>
          </c:cat>
          <c:val>
            <c:numRef>
              <c:f>Hoja1!$D$25:$D$30</c:f>
              <c:numCache>
                <c:formatCode>0%</c:formatCode>
                <c:ptCount val="6"/>
                <c:pt idx="0">
                  <c:v>0.25</c:v>
                </c:pt>
                <c:pt idx="1">
                  <c:v>0.1</c:v>
                </c:pt>
                <c:pt idx="2">
                  <c:v>0.28999999999999998</c:v>
                </c:pt>
                <c:pt idx="3">
                  <c:v>7.0000000000000007E-2</c:v>
                </c:pt>
                <c:pt idx="4">
                  <c:v>0.1</c:v>
                </c:pt>
                <c:pt idx="5">
                  <c:v>7.0000000000000007E-2</c:v>
                </c:pt>
              </c:numCache>
            </c:numRef>
          </c:val>
          <c:extLst>
            <c:ext xmlns:c16="http://schemas.microsoft.com/office/drawing/2014/chart" uri="{C3380CC4-5D6E-409C-BE32-E72D297353CC}">
              <c16:uniqueId val="{0000000D-EA2D-46CF-BC85-7D3260864755}"/>
            </c:ext>
          </c:extLst>
        </c:ser>
        <c:dLbls>
          <c:dLblPos val="outEnd"/>
          <c:showLegendKey val="0"/>
          <c:showVal val="1"/>
          <c:showCatName val="0"/>
          <c:showSerName val="0"/>
          <c:showPercent val="0"/>
          <c:showBubbleSize val="0"/>
        </c:dLbls>
        <c:gapWidth val="219"/>
        <c:overlap val="-27"/>
        <c:axId val="-1359804528"/>
        <c:axId val="-1359824656"/>
      </c:barChart>
      <c:catAx>
        <c:axId val="-1359804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crossAx val="-1359824656"/>
        <c:crosses val="autoZero"/>
        <c:auto val="1"/>
        <c:lblAlgn val="ctr"/>
        <c:lblOffset val="100"/>
        <c:noMultiLvlLbl val="0"/>
      </c:catAx>
      <c:valAx>
        <c:axId val="-13598246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crossAx val="-1359804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ysClr val="windowText" lastClr="000000"/>
          </a:solidFill>
          <a:latin typeface="Times New Roman" panose="02020603050405020304" pitchFamily="18" charset="0"/>
          <a:cs typeface="Times New Roman" panose="02020603050405020304" pitchFamily="18" charset="0"/>
        </a:defRPr>
      </a:pPr>
      <a:endParaRPr lang="es-EC"/>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cap="none" spc="20" baseline="0">
                <a:solidFill>
                  <a:sysClr val="windowText" lastClr="000000"/>
                </a:solidFill>
                <a:latin typeface="Arial" panose="020B0604020202020204" pitchFamily="34" charset="0"/>
                <a:ea typeface="+mn-ea"/>
                <a:cs typeface="Arial" panose="020B0604020202020204" pitchFamily="34" charset="0"/>
              </a:defRPr>
            </a:pPr>
            <a:r>
              <a:rPr lang="en-US" sz="1100" b="1">
                <a:latin typeface="Arial" panose="020B0604020202020204" pitchFamily="34" charset="0"/>
                <a:cs typeface="Arial" panose="020B0604020202020204" pitchFamily="34" charset="0"/>
              </a:rPr>
              <a:t>Grafica 4</a:t>
            </a:r>
            <a:r>
              <a:rPr lang="en-US" sz="1100">
                <a:latin typeface="Arial" panose="020B0604020202020204" pitchFamily="34" charset="0"/>
                <a:cs typeface="Arial" panose="020B0604020202020204" pitchFamily="34" charset="0"/>
              </a:rPr>
              <a:t>:</a:t>
            </a:r>
            <a:r>
              <a:rPr lang="en-US" sz="1100" baseline="0">
                <a:latin typeface="Arial" panose="020B0604020202020204" pitchFamily="34" charset="0"/>
                <a:cs typeface="Arial" panose="020B0604020202020204" pitchFamily="34" charset="0"/>
              </a:rPr>
              <a:t> </a:t>
            </a:r>
            <a:r>
              <a:rPr lang="en-US" sz="1100">
                <a:latin typeface="Arial" panose="020B0604020202020204" pitchFamily="34" charset="0"/>
                <a:cs typeface="Arial" panose="020B0604020202020204" pitchFamily="34" charset="0"/>
              </a:rPr>
              <a:t>Razones de consumo de sustancias psicoestimulantes menores</a:t>
            </a:r>
          </a:p>
        </c:rich>
      </c:tx>
      <c:overlay val="0"/>
      <c:spPr>
        <a:noFill/>
        <a:ln>
          <a:noFill/>
        </a:ln>
        <a:effectLst/>
      </c:spPr>
      <c:txPr>
        <a:bodyPr rot="0" spcFirstLastPara="1" vertOverflow="ellipsis" vert="horz" wrap="square" anchor="ctr" anchorCtr="1"/>
        <a:lstStyle/>
        <a:p>
          <a:pPr>
            <a:defRPr sz="1100" b="0" i="0" u="none" strike="noStrike" kern="1200" cap="none" spc="20" baseline="0">
              <a:solidFill>
                <a:sysClr val="windowText" lastClr="000000"/>
              </a:solidFill>
              <a:latin typeface="Arial" panose="020B0604020202020204" pitchFamily="34" charset="0"/>
              <a:ea typeface="+mn-ea"/>
              <a:cs typeface="Arial" panose="020B0604020202020204" pitchFamily="34" charset="0"/>
            </a:defRPr>
          </a:pPr>
          <a:endParaRPr lang="es-EC"/>
        </a:p>
      </c:txPr>
    </c:title>
    <c:autoTitleDeleted val="0"/>
    <c:plotArea>
      <c:layout/>
      <c:barChart>
        <c:barDir val="col"/>
        <c:grouping val="clustered"/>
        <c:varyColors val="0"/>
        <c:ser>
          <c:idx val="0"/>
          <c:order val="0"/>
          <c:tx>
            <c:strRef>
              <c:f>' razones de consumo1'!$O$109</c:f>
              <c:strCache>
                <c:ptCount val="1"/>
                <c:pt idx="0">
                  <c:v>F(% )</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Pt>
            <c:idx val="0"/>
            <c:invertIfNegative val="0"/>
            <c:bubble3D val="0"/>
            <c:extLst>
              <c:ext xmlns:c16="http://schemas.microsoft.com/office/drawing/2014/chart" uri="{C3380CC4-5D6E-409C-BE32-E72D297353CC}">
                <c16:uniqueId val="{00000000-B02E-4BF6-BEAF-228232491E4B}"/>
              </c:ext>
            </c:extLst>
          </c:dPt>
          <c:dPt>
            <c:idx val="1"/>
            <c:invertIfNegative val="0"/>
            <c:bubble3D val="0"/>
            <c:extLst>
              <c:ext xmlns:c16="http://schemas.microsoft.com/office/drawing/2014/chart" uri="{C3380CC4-5D6E-409C-BE32-E72D297353CC}">
                <c16:uniqueId val="{00000001-B02E-4BF6-BEAF-228232491E4B}"/>
              </c:ext>
            </c:extLst>
          </c:dPt>
          <c:dPt>
            <c:idx val="2"/>
            <c:invertIfNegative val="0"/>
            <c:bubble3D val="0"/>
            <c:extLst>
              <c:ext xmlns:c16="http://schemas.microsoft.com/office/drawing/2014/chart" uri="{C3380CC4-5D6E-409C-BE32-E72D297353CC}">
                <c16:uniqueId val="{00000002-B02E-4BF6-BEAF-228232491E4B}"/>
              </c:ext>
            </c:extLst>
          </c:dPt>
          <c:dPt>
            <c:idx val="3"/>
            <c:invertIfNegative val="0"/>
            <c:bubble3D val="0"/>
            <c:extLst>
              <c:ext xmlns:c16="http://schemas.microsoft.com/office/drawing/2014/chart" uri="{C3380CC4-5D6E-409C-BE32-E72D297353CC}">
                <c16:uniqueId val="{00000003-B02E-4BF6-BEAF-228232491E4B}"/>
              </c:ext>
            </c:extLst>
          </c:dPt>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 razones de consumo1'!$N$110:$N$113</c:f>
              <c:strCache>
                <c:ptCount val="4"/>
                <c:pt idx="0">
                  <c:v>Mejorar el desempeño académico</c:v>
                </c:pt>
                <c:pt idx="1">
                  <c:v>Por sobrecarga de trabajo</c:v>
                </c:pt>
                <c:pt idx="2">
                  <c:v>Por influencia social </c:v>
                </c:pt>
                <c:pt idx="3">
                  <c:v>Por influencia familiar</c:v>
                </c:pt>
              </c:strCache>
            </c:strRef>
          </c:cat>
          <c:val>
            <c:numRef>
              <c:f>' razones de consumo1'!$O$110:$O$113</c:f>
              <c:numCache>
                <c:formatCode>General</c:formatCode>
                <c:ptCount val="4"/>
                <c:pt idx="0">
                  <c:v>50</c:v>
                </c:pt>
                <c:pt idx="1">
                  <c:v>46</c:v>
                </c:pt>
                <c:pt idx="2">
                  <c:v>32</c:v>
                </c:pt>
                <c:pt idx="3">
                  <c:v>21</c:v>
                </c:pt>
              </c:numCache>
            </c:numRef>
          </c:val>
          <c:extLst>
            <c:ext xmlns:c16="http://schemas.microsoft.com/office/drawing/2014/chart" uri="{C3380CC4-5D6E-409C-BE32-E72D297353CC}">
              <c16:uniqueId val="{00000004-B02E-4BF6-BEAF-228232491E4B}"/>
            </c:ext>
          </c:extLst>
        </c:ser>
        <c:dLbls>
          <c:showLegendKey val="0"/>
          <c:showVal val="0"/>
          <c:showCatName val="0"/>
          <c:showSerName val="0"/>
          <c:showPercent val="0"/>
          <c:showBubbleSize val="0"/>
        </c:dLbls>
        <c:gapWidth val="100"/>
        <c:overlap val="-24"/>
        <c:axId val="-1359821392"/>
        <c:axId val="-1359833904"/>
      </c:barChart>
      <c:catAx>
        <c:axId val="-1359821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crossAx val="-1359833904"/>
        <c:crosses val="autoZero"/>
        <c:auto val="1"/>
        <c:lblAlgn val="ctr"/>
        <c:lblOffset val="100"/>
        <c:noMultiLvlLbl val="0"/>
      </c:catAx>
      <c:valAx>
        <c:axId val="-1359833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crossAx val="-1359821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50">
          <a:solidFill>
            <a:sysClr val="windowText" lastClr="000000"/>
          </a:solidFill>
          <a:latin typeface="Times New Roman" panose="02020603050405020304" pitchFamily="18" charset="0"/>
          <a:cs typeface="Times New Roman" panose="02020603050405020304" pitchFamily="18" charset="0"/>
        </a:defRPr>
      </a:pPr>
      <a:endParaRPr lang="es-EC"/>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100" b="0" i="0" u="none" strike="noStrike" kern="1200" cap="none" spc="20" baseline="0">
                <a:solidFill>
                  <a:sysClr val="windowText" lastClr="000000"/>
                </a:solidFill>
                <a:latin typeface="Arial" panose="020B0604020202020204" pitchFamily="34" charset="0"/>
                <a:ea typeface="+mn-ea"/>
                <a:cs typeface="Arial" panose="020B0604020202020204" pitchFamily="34" charset="0"/>
              </a:defRPr>
            </a:pPr>
            <a:r>
              <a:rPr lang="en-US" sz="1100" b="1">
                <a:latin typeface="Arial" panose="020B0604020202020204" pitchFamily="34" charset="0"/>
                <a:cs typeface="Arial" panose="020B0604020202020204" pitchFamily="34" charset="0"/>
              </a:rPr>
              <a:t>Gráfico 5:</a:t>
            </a:r>
            <a:r>
              <a:rPr lang="en-US" sz="1100">
                <a:latin typeface="Arial" panose="020B0604020202020204" pitchFamily="34" charset="0"/>
                <a:cs typeface="Arial" panose="020B0604020202020204" pitchFamily="34" charset="0"/>
              </a:rPr>
              <a:t> Efectos del consumo de sustancias psicoestimulantes menores</a:t>
            </a:r>
          </a:p>
        </c:rich>
      </c:tx>
      <c:overlay val="0"/>
      <c:spPr>
        <a:noFill/>
        <a:ln>
          <a:noFill/>
        </a:ln>
        <a:effectLst/>
      </c:spPr>
      <c:txPr>
        <a:bodyPr rot="0" spcFirstLastPara="1" vertOverflow="ellipsis" vert="horz" wrap="square" anchor="ctr" anchorCtr="1"/>
        <a:lstStyle/>
        <a:p>
          <a:pPr>
            <a:defRPr sz="1100" b="0" i="0" u="none" strike="noStrike" kern="1200" cap="none" spc="20" baseline="0">
              <a:solidFill>
                <a:sysClr val="windowText" lastClr="000000"/>
              </a:solidFill>
              <a:latin typeface="Arial" panose="020B0604020202020204" pitchFamily="34" charset="0"/>
              <a:ea typeface="+mn-ea"/>
              <a:cs typeface="Arial" panose="020B0604020202020204" pitchFamily="34" charset="0"/>
            </a:defRPr>
          </a:pPr>
          <a:endParaRPr lang="es-EC"/>
        </a:p>
      </c:txPr>
    </c:title>
    <c:autoTitleDeleted val="0"/>
    <c:plotArea>
      <c:layout/>
      <c:barChart>
        <c:barDir val="col"/>
        <c:grouping val="clustered"/>
        <c:varyColors val="0"/>
        <c:ser>
          <c:idx val="1"/>
          <c:order val="0"/>
          <c:tx>
            <c:strRef>
              <c:f>'efectos secundarios del consumo'!$O$32</c:f>
              <c:strCache>
                <c:ptCount val="1"/>
                <c:pt idx="0">
                  <c:v>(%)</c:v>
                </c:pt>
              </c:strCache>
            </c:strRef>
          </c:tx>
          <c:spPr>
            <a:gradFill rotWithShape="1">
              <a:gsLst>
                <a:gs pos="0">
                  <a:schemeClr val="accent1">
                    <a:shade val="76000"/>
                    <a:lumMod val="110000"/>
                    <a:satMod val="105000"/>
                    <a:tint val="67000"/>
                  </a:schemeClr>
                </a:gs>
                <a:gs pos="50000">
                  <a:schemeClr val="accent1">
                    <a:shade val="76000"/>
                    <a:lumMod val="105000"/>
                    <a:satMod val="103000"/>
                    <a:tint val="73000"/>
                  </a:schemeClr>
                </a:gs>
                <a:gs pos="100000">
                  <a:schemeClr val="accent1">
                    <a:shade val="76000"/>
                    <a:lumMod val="105000"/>
                    <a:satMod val="109000"/>
                    <a:tint val="81000"/>
                  </a:schemeClr>
                </a:gs>
              </a:gsLst>
              <a:lin ang="5400000" scaled="0"/>
            </a:gradFill>
            <a:ln w="9525" cap="flat" cmpd="sng" algn="ctr">
              <a:solidFill>
                <a:schemeClr val="accent1">
                  <a:shade val="76000"/>
                  <a:shade val="95000"/>
                </a:schemeClr>
              </a:solidFill>
              <a:round/>
            </a:ln>
            <a:effectLst/>
          </c:spPr>
          <c:invertIfNegative val="0"/>
          <c:dPt>
            <c:idx val="0"/>
            <c:invertIfNegative val="0"/>
            <c:bubble3D val="0"/>
            <c:extLst>
              <c:ext xmlns:c16="http://schemas.microsoft.com/office/drawing/2014/chart" uri="{C3380CC4-5D6E-409C-BE32-E72D297353CC}">
                <c16:uniqueId val="{00000000-2739-4E98-B11B-FAF2B80F963C}"/>
              </c:ext>
            </c:extLst>
          </c:dPt>
          <c:dPt>
            <c:idx val="1"/>
            <c:invertIfNegative val="0"/>
            <c:bubble3D val="0"/>
            <c:extLst>
              <c:ext xmlns:c16="http://schemas.microsoft.com/office/drawing/2014/chart" uri="{C3380CC4-5D6E-409C-BE32-E72D297353CC}">
                <c16:uniqueId val="{00000001-2739-4E98-B11B-FAF2B80F963C}"/>
              </c:ext>
            </c:extLst>
          </c:dPt>
          <c:dPt>
            <c:idx val="2"/>
            <c:invertIfNegative val="0"/>
            <c:bubble3D val="0"/>
            <c:extLst>
              <c:ext xmlns:c16="http://schemas.microsoft.com/office/drawing/2014/chart" uri="{C3380CC4-5D6E-409C-BE32-E72D297353CC}">
                <c16:uniqueId val="{00000002-2739-4E98-B11B-FAF2B80F963C}"/>
              </c:ext>
            </c:extLst>
          </c:dPt>
          <c:dPt>
            <c:idx val="3"/>
            <c:invertIfNegative val="0"/>
            <c:bubble3D val="0"/>
            <c:extLst>
              <c:ext xmlns:c16="http://schemas.microsoft.com/office/drawing/2014/chart" uri="{C3380CC4-5D6E-409C-BE32-E72D297353CC}">
                <c16:uniqueId val="{00000003-2739-4E98-B11B-FAF2B80F963C}"/>
              </c:ext>
            </c:extLst>
          </c:dPt>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'efectos secundarios del consumo'!$M$33:$M$36</c:f>
              <c:strCache>
                <c:ptCount val="4"/>
                <c:pt idx="0">
                  <c:v>Psicológicos</c:v>
                </c:pt>
                <c:pt idx="1">
                  <c:v>Cardiovasculares</c:v>
                </c:pt>
                <c:pt idx="2">
                  <c:v>Sobre el sueño</c:v>
                </c:pt>
                <c:pt idx="3">
                  <c:v>Gastrointestinales</c:v>
                </c:pt>
              </c:strCache>
            </c:strRef>
          </c:cat>
          <c:val>
            <c:numRef>
              <c:f>'efectos secundarios del consumo'!$O$33:$O$36</c:f>
              <c:numCache>
                <c:formatCode>0</c:formatCode>
                <c:ptCount val="4"/>
                <c:pt idx="0">
                  <c:v>23.8</c:v>
                </c:pt>
                <c:pt idx="1">
                  <c:v>13.8</c:v>
                </c:pt>
                <c:pt idx="2">
                  <c:v>8.4</c:v>
                </c:pt>
                <c:pt idx="3">
                  <c:v>18.2</c:v>
                </c:pt>
              </c:numCache>
            </c:numRef>
          </c:val>
          <c:extLst>
            <c:ext xmlns:c16="http://schemas.microsoft.com/office/drawing/2014/chart" uri="{C3380CC4-5D6E-409C-BE32-E72D297353CC}">
              <c16:uniqueId val="{00000004-2739-4E98-B11B-FAF2B80F963C}"/>
            </c:ext>
          </c:extLst>
        </c:ser>
        <c:dLbls>
          <c:dLblPos val="outEnd"/>
          <c:showLegendKey val="0"/>
          <c:showVal val="1"/>
          <c:showCatName val="0"/>
          <c:showSerName val="0"/>
          <c:showPercent val="0"/>
          <c:showBubbleSize val="0"/>
        </c:dLbls>
        <c:gapWidth val="100"/>
        <c:overlap val="-24"/>
        <c:axId val="-1359807792"/>
        <c:axId val="-1359806160"/>
      </c:barChart>
      <c:catAx>
        <c:axId val="-1359807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crossAx val="-1359806160"/>
        <c:crosses val="autoZero"/>
        <c:auto val="1"/>
        <c:lblAlgn val="ctr"/>
        <c:lblOffset val="100"/>
        <c:noMultiLvlLbl val="0"/>
      </c:catAx>
      <c:valAx>
        <c:axId val="-13598061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crossAx val="-1359807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C"/>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50">
          <a:solidFill>
            <a:sysClr val="windowText" lastClr="000000"/>
          </a:solidFill>
          <a:latin typeface="Times New Roman" panose="02020603050405020304" pitchFamily="18" charset="0"/>
          <a:cs typeface="Times New Roman" panose="02020603050405020304" pitchFamily="18" charset="0"/>
        </a:defRPr>
      </a:pPr>
      <a:endParaRPr lang="es-EC"/>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1</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2</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3</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4</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D5148E-9B77-41B7-A840-CDA9D3C37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16</Pages>
  <Words>7241</Words>
  <Characters>39827</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Castillo</cp:lastModifiedBy>
  <cp:revision>17</cp:revision>
  <cp:lastPrinted>2019-07-01T23:45:00Z</cp:lastPrinted>
  <dcterms:created xsi:type="dcterms:W3CDTF">2019-06-20T02:40:00Z</dcterms:created>
  <dcterms:modified xsi:type="dcterms:W3CDTF">2019-07-02T19:51:00Z</dcterms:modified>
</cp:coreProperties>
</file>