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D4EA7" w14:textId="5F9E666B" w:rsidR="007A1AC7" w:rsidRDefault="007A1AC7" w:rsidP="00CA4AFB">
      <w:pPr>
        <w:autoSpaceDE w:val="0"/>
        <w:autoSpaceDN w:val="0"/>
        <w:adjustRightInd w:val="0"/>
        <w:spacing w:after="0" w:line="240" w:lineRule="auto"/>
        <w:jc w:val="center"/>
        <w:rPr>
          <w:rFonts w:ascii="Arial" w:hAnsi="Arial" w:cs="Arial"/>
          <w:b/>
          <w:bCs/>
          <w:i/>
          <w:iCs/>
          <w:sz w:val="32"/>
          <w:szCs w:val="32"/>
          <w:lang w:val="es-EC"/>
        </w:rPr>
      </w:pPr>
      <w:bookmarkStart w:id="0" w:name="_Hlk44536373"/>
      <w:bookmarkStart w:id="1" w:name="_Hlk28242602"/>
    </w:p>
    <w:p w14:paraId="5ACC0B15" w14:textId="77777777" w:rsidR="00E750CA" w:rsidRPr="000F63B2" w:rsidRDefault="00E750CA" w:rsidP="00CA4AFB">
      <w:pPr>
        <w:autoSpaceDE w:val="0"/>
        <w:autoSpaceDN w:val="0"/>
        <w:adjustRightInd w:val="0"/>
        <w:spacing w:after="0" w:line="240" w:lineRule="auto"/>
        <w:jc w:val="center"/>
        <w:rPr>
          <w:rFonts w:ascii="Arial" w:hAnsi="Arial" w:cs="Arial"/>
          <w:b/>
          <w:bCs/>
          <w:i/>
          <w:iCs/>
          <w:sz w:val="32"/>
          <w:szCs w:val="32"/>
          <w:lang w:val="es-EC"/>
        </w:rPr>
      </w:pPr>
    </w:p>
    <w:p w14:paraId="1E9A4F06" w14:textId="68060096" w:rsidR="005271E4" w:rsidRPr="000F63B2" w:rsidRDefault="001C053D" w:rsidP="005271E4">
      <w:pPr>
        <w:autoSpaceDE w:val="0"/>
        <w:autoSpaceDN w:val="0"/>
        <w:adjustRightInd w:val="0"/>
        <w:spacing w:after="0" w:line="240" w:lineRule="auto"/>
        <w:jc w:val="center"/>
        <w:rPr>
          <w:rFonts w:ascii="Arial" w:hAnsi="Arial" w:cs="Arial"/>
          <w:b/>
          <w:bCs/>
          <w:i/>
          <w:iCs/>
          <w:sz w:val="32"/>
          <w:szCs w:val="32"/>
          <w:lang w:val="es-EC"/>
        </w:rPr>
      </w:pPr>
      <w:bookmarkStart w:id="2" w:name="_Hlk44616500"/>
      <w:r w:rsidRPr="000F63B2">
        <w:rPr>
          <w:rFonts w:ascii="Arial" w:hAnsi="Arial" w:cs="Arial"/>
          <w:b/>
          <w:bCs/>
          <w:i/>
          <w:iCs/>
          <w:sz w:val="32"/>
          <w:szCs w:val="32"/>
          <w:lang w:val="es-EC"/>
        </w:rPr>
        <w:t>EL ESTRÉS Y EL CONSUMO DE ALCOHOL DURANTE LA PANDEMIA DE LA COVID-19</w:t>
      </w:r>
    </w:p>
    <w:p w14:paraId="495175E6" w14:textId="0E60AC2A" w:rsidR="0054283A" w:rsidRDefault="0054283A" w:rsidP="005271E4">
      <w:pPr>
        <w:autoSpaceDE w:val="0"/>
        <w:autoSpaceDN w:val="0"/>
        <w:adjustRightInd w:val="0"/>
        <w:spacing w:after="0" w:line="240" w:lineRule="auto"/>
        <w:jc w:val="center"/>
        <w:rPr>
          <w:rFonts w:ascii="Arial" w:hAnsi="Arial" w:cs="Arial"/>
          <w:b/>
          <w:bCs/>
          <w:i/>
          <w:iCs/>
          <w:sz w:val="32"/>
          <w:szCs w:val="32"/>
          <w:lang w:val="es-MX"/>
        </w:rPr>
      </w:pPr>
    </w:p>
    <w:p w14:paraId="2DB97B8F" w14:textId="77777777" w:rsidR="00D96864" w:rsidRPr="000F63B2" w:rsidRDefault="00D96864" w:rsidP="005271E4">
      <w:pPr>
        <w:autoSpaceDE w:val="0"/>
        <w:autoSpaceDN w:val="0"/>
        <w:adjustRightInd w:val="0"/>
        <w:spacing w:after="0" w:line="240" w:lineRule="auto"/>
        <w:jc w:val="center"/>
        <w:rPr>
          <w:rFonts w:ascii="Arial" w:hAnsi="Arial" w:cs="Arial"/>
          <w:b/>
          <w:bCs/>
          <w:i/>
          <w:iCs/>
          <w:sz w:val="32"/>
          <w:szCs w:val="32"/>
          <w:lang w:val="es-MX"/>
        </w:rPr>
      </w:pPr>
    </w:p>
    <w:p w14:paraId="24A30AEC" w14:textId="457D5FEB" w:rsidR="00606C9A" w:rsidRPr="000F63B2" w:rsidRDefault="00606C9A" w:rsidP="00CA4AFB">
      <w:pPr>
        <w:autoSpaceDE w:val="0"/>
        <w:autoSpaceDN w:val="0"/>
        <w:adjustRightInd w:val="0"/>
        <w:spacing w:after="0" w:line="240" w:lineRule="auto"/>
        <w:jc w:val="center"/>
        <w:rPr>
          <w:rFonts w:ascii="Arial" w:hAnsi="Arial" w:cs="Arial"/>
          <w:b/>
          <w:bCs/>
          <w:i/>
          <w:iCs/>
          <w:sz w:val="32"/>
          <w:szCs w:val="32"/>
          <w:lang w:val="es-MX"/>
        </w:rPr>
      </w:pPr>
    </w:p>
    <w:bookmarkEnd w:id="0"/>
    <w:bookmarkEnd w:id="2"/>
    <w:p w14:paraId="3BB1FEAE" w14:textId="246DE406" w:rsidR="005271E4" w:rsidRPr="000F63B2" w:rsidRDefault="001C053D" w:rsidP="005271E4">
      <w:pPr>
        <w:autoSpaceDE w:val="0"/>
        <w:autoSpaceDN w:val="0"/>
        <w:adjustRightInd w:val="0"/>
        <w:spacing w:after="0" w:line="240" w:lineRule="auto"/>
        <w:jc w:val="center"/>
        <w:rPr>
          <w:rFonts w:ascii="Arial" w:hAnsi="Arial" w:cs="Arial"/>
          <w:b/>
          <w:bCs/>
          <w:i/>
          <w:iCs/>
          <w:sz w:val="32"/>
          <w:szCs w:val="32"/>
          <w:lang w:val="en-US"/>
        </w:rPr>
      </w:pPr>
      <w:r w:rsidRPr="000F63B2">
        <w:rPr>
          <w:rFonts w:ascii="Arial" w:hAnsi="Arial" w:cs="Arial"/>
          <w:b/>
          <w:bCs/>
          <w:i/>
          <w:iCs/>
          <w:sz w:val="32"/>
          <w:szCs w:val="32"/>
          <w:lang w:val="en-US"/>
        </w:rPr>
        <w:t>STRESS AND ALCOHOL CONSUMPTION DURING THE COVID-19 PANDEMIC</w:t>
      </w:r>
    </w:p>
    <w:p w14:paraId="736F4705" w14:textId="3FC5EE8C" w:rsidR="00834712" w:rsidRDefault="00834712" w:rsidP="00EB5FD4">
      <w:pPr>
        <w:autoSpaceDE w:val="0"/>
        <w:autoSpaceDN w:val="0"/>
        <w:adjustRightInd w:val="0"/>
        <w:spacing w:after="0" w:line="240" w:lineRule="auto"/>
        <w:jc w:val="center"/>
        <w:rPr>
          <w:rFonts w:ascii="Arial" w:hAnsi="Arial" w:cs="Arial"/>
          <w:b/>
          <w:bCs/>
          <w:i/>
          <w:iCs/>
          <w:sz w:val="32"/>
          <w:szCs w:val="32"/>
          <w:lang w:val="en-US"/>
        </w:rPr>
      </w:pPr>
    </w:p>
    <w:p w14:paraId="275D4348" w14:textId="77777777" w:rsidR="00D96864" w:rsidRPr="000F63B2" w:rsidRDefault="00D96864" w:rsidP="00EB5FD4">
      <w:pPr>
        <w:autoSpaceDE w:val="0"/>
        <w:autoSpaceDN w:val="0"/>
        <w:adjustRightInd w:val="0"/>
        <w:spacing w:after="0" w:line="240" w:lineRule="auto"/>
        <w:jc w:val="center"/>
        <w:rPr>
          <w:rFonts w:ascii="Arial" w:hAnsi="Arial" w:cs="Arial"/>
          <w:b/>
          <w:bCs/>
          <w:i/>
          <w:iCs/>
          <w:sz w:val="32"/>
          <w:szCs w:val="32"/>
          <w:lang w:val="en-US"/>
        </w:rPr>
      </w:pPr>
    </w:p>
    <w:p w14:paraId="4236BDDF" w14:textId="77777777" w:rsidR="00582810" w:rsidRPr="00D96864" w:rsidRDefault="00582810" w:rsidP="005271E4">
      <w:pPr>
        <w:spacing w:after="0" w:line="240" w:lineRule="auto"/>
        <w:jc w:val="center"/>
        <w:rPr>
          <w:rFonts w:ascii="Arial" w:hAnsi="Arial" w:cs="Arial"/>
          <w:sz w:val="24"/>
          <w:szCs w:val="24"/>
          <w:lang w:val="en-US"/>
        </w:rPr>
      </w:pPr>
      <w:bookmarkStart w:id="3" w:name="_Hlk58185306"/>
    </w:p>
    <w:p w14:paraId="0DC089BA" w14:textId="6F91AA14" w:rsidR="005271E4" w:rsidRPr="000F63B2" w:rsidRDefault="001C053D" w:rsidP="005271E4">
      <w:pPr>
        <w:spacing w:after="0" w:line="240" w:lineRule="auto"/>
        <w:jc w:val="center"/>
        <w:rPr>
          <w:rFonts w:ascii="Arial" w:hAnsi="Arial" w:cs="Arial"/>
          <w:sz w:val="24"/>
          <w:szCs w:val="24"/>
          <w:lang w:val="es-MX"/>
        </w:rPr>
      </w:pPr>
      <w:r w:rsidRPr="000F63B2">
        <w:rPr>
          <w:rFonts w:ascii="Arial" w:hAnsi="Arial" w:cs="Arial"/>
          <w:sz w:val="24"/>
          <w:szCs w:val="24"/>
          <w:lang w:val="es-EC"/>
        </w:rPr>
        <w:t>Wilson Lenin Andrade Chauvin</w:t>
      </w:r>
      <w:r w:rsidR="005271E4" w:rsidRPr="000F63B2">
        <w:rPr>
          <w:rFonts w:ascii="Arial" w:hAnsi="Arial" w:cs="Arial"/>
          <w:sz w:val="24"/>
          <w:szCs w:val="24"/>
          <w:vertAlign w:val="superscript"/>
          <w:lang w:val="es-MX"/>
        </w:rPr>
        <w:footnoteReference w:id="1"/>
      </w:r>
    </w:p>
    <w:p w14:paraId="76ED29A6" w14:textId="279A7CE0" w:rsidR="001A7EBA" w:rsidRPr="000F63B2" w:rsidRDefault="001A7EBA" w:rsidP="00980944">
      <w:pPr>
        <w:spacing w:after="0" w:line="240" w:lineRule="auto"/>
        <w:jc w:val="center"/>
        <w:rPr>
          <w:rFonts w:ascii="Arial" w:hAnsi="Arial" w:cs="Arial"/>
          <w:sz w:val="24"/>
          <w:szCs w:val="24"/>
          <w:lang w:val="es-MX"/>
        </w:rPr>
      </w:pPr>
    </w:p>
    <w:bookmarkEnd w:id="1"/>
    <w:bookmarkEnd w:id="3"/>
    <w:p w14:paraId="363D7886" w14:textId="0DCD11E6" w:rsidR="00D221A9" w:rsidRPr="000F63B2" w:rsidRDefault="00D221A9" w:rsidP="007551FD">
      <w:pPr>
        <w:autoSpaceDE w:val="0"/>
        <w:autoSpaceDN w:val="0"/>
        <w:adjustRightInd w:val="0"/>
        <w:spacing w:after="0" w:line="240" w:lineRule="auto"/>
        <w:jc w:val="center"/>
        <w:rPr>
          <w:rFonts w:ascii="Arial" w:hAnsi="Arial" w:cs="Arial"/>
          <w:sz w:val="18"/>
          <w:szCs w:val="18"/>
        </w:rPr>
      </w:pPr>
      <w:r w:rsidRPr="000F63B2">
        <w:rPr>
          <w:rFonts w:ascii="Arial" w:hAnsi="Arial" w:cs="Arial"/>
          <w:b/>
          <w:bCs/>
          <w:sz w:val="18"/>
          <w:szCs w:val="18"/>
        </w:rPr>
        <w:t xml:space="preserve">Recibido: </w:t>
      </w:r>
      <w:r w:rsidRPr="000F63B2">
        <w:rPr>
          <w:rFonts w:ascii="Arial" w:hAnsi="Arial" w:cs="Arial"/>
          <w:sz w:val="18"/>
          <w:szCs w:val="18"/>
        </w:rPr>
        <w:t>20</w:t>
      </w:r>
      <w:r w:rsidR="00980944" w:rsidRPr="000F63B2">
        <w:rPr>
          <w:rFonts w:ascii="Arial" w:hAnsi="Arial" w:cs="Arial"/>
          <w:sz w:val="18"/>
          <w:szCs w:val="18"/>
        </w:rPr>
        <w:t>2</w:t>
      </w:r>
      <w:r w:rsidR="000540E9" w:rsidRPr="000F63B2">
        <w:rPr>
          <w:rFonts w:ascii="Arial" w:hAnsi="Arial" w:cs="Arial"/>
          <w:sz w:val="18"/>
          <w:szCs w:val="18"/>
        </w:rPr>
        <w:t>1</w:t>
      </w:r>
      <w:r w:rsidRPr="000F63B2">
        <w:rPr>
          <w:rFonts w:ascii="Arial" w:hAnsi="Arial" w:cs="Arial"/>
          <w:sz w:val="18"/>
          <w:szCs w:val="18"/>
        </w:rPr>
        <w:t>-</w:t>
      </w:r>
      <w:r w:rsidR="002B2620" w:rsidRPr="000F63B2">
        <w:rPr>
          <w:rFonts w:ascii="Arial" w:hAnsi="Arial" w:cs="Arial"/>
          <w:sz w:val="18"/>
          <w:szCs w:val="18"/>
        </w:rPr>
        <w:t>02-12</w:t>
      </w:r>
      <w:r w:rsidRPr="000F63B2">
        <w:rPr>
          <w:rFonts w:ascii="Arial" w:hAnsi="Arial" w:cs="Arial"/>
          <w:sz w:val="18"/>
          <w:szCs w:val="18"/>
        </w:rPr>
        <w:t xml:space="preserve"> / </w:t>
      </w:r>
      <w:r w:rsidRPr="000F63B2">
        <w:rPr>
          <w:rFonts w:ascii="Arial" w:hAnsi="Arial" w:cs="Arial"/>
          <w:b/>
          <w:sz w:val="18"/>
          <w:szCs w:val="18"/>
        </w:rPr>
        <w:t>Revisado</w:t>
      </w:r>
      <w:r w:rsidRPr="000F63B2">
        <w:rPr>
          <w:rFonts w:ascii="Arial" w:hAnsi="Arial" w:cs="Arial"/>
          <w:sz w:val="18"/>
          <w:szCs w:val="18"/>
        </w:rPr>
        <w:t>: 20</w:t>
      </w:r>
      <w:r w:rsidR="004167E3" w:rsidRPr="000F63B2">
        <w:rPr>
          <w:rFonts w:ascii="Arial" w:hAnsi="Arial" w:cs="Arial"/>
          <w:sz w:val="18"/>
          <w:szCs w:val="18"/>
        </w:rPr>
        <w:t>2</w:t>
      </w:r>
      <w:r w:rsidR="000540E9" w:rsidRPr="000F63B2">
        <w:rPr>
          <w:rFonts w:ascii="Arial" w:hAnsi="Arial" w:cs="Arial"/>
          <w:sz w:val="18"/>
          <w:szCs w:val="18"/>
        </w:rPr>
        <w:t>1</w:t>
      </w:r>
      <w:r w:rsidRPr="000F63B2">
        <w:rPr>
          <w:rFonts w:ascii="Arial" w:hAnsi="Arial" w:cs="Arial"/>
          <w:sz w:val="18"/>
          <w:szCs w:val="18"/>
        </w:rPr>
        <w:t>-</w:t>
      </w:r>
      <w:r w:rsidR="002B2620" w:rsidRPr="000F63B2">
        <w:rPr>
          <w:rFonts w:ascii="Arial" w:hAnsi="Arial" w:cs="Arial"/>
          <w:sz w:val="18"/>
          <w:szCs w:val="18"/>
        </w:rPr>
        <w:t>04-02</w:t>
      </w:r>
      <w:r w:rsidRPr="000F63B2">
        <w:rPr>
          <w:rFonts w:ascii="Arial" w:hAnsi="Arial" w:cs="Arial"/>
          <w:sz w:val="18"/>
          <w:szCs w:val="18"/>
        </w:rPr>
        <w:t xml:space="preserve"> / </w:t>
      </w:r>
      <w:r w:rsidRPr="000F63B2">
        <w:rPr>
          <w:rFonts w:ascii="Arial" w:hAnsi="Arial" w:cs="Arial"/>
          <w:b/>
          <w:bCs/>
          <w:sz w:val="18"/>
          <w:szCs w:val="18"/>
        </w:rPr>
        <w:t xml:space="preserve">Aceptado: </w:t>
      </w:r>
      <w:r w:rsidRPr="000F63B2">
        <w:rPr>
          <w:rFonts w:ascii="Arial" w:hAnsi="Arial" w:cs="Arial"/>
          <w:sz w:val="18"/>
          <w:szCs w:val="18"/>
        </w:rPr>
        <w:t>20</w:t>
      </w:r>
      <w:r w:rsidR="008C1A08" w:rsidRPr="000F63B2">
        <w:rPr>
          <w:rFonts w:ascii="Arial" w:hAnsi="Arial" w:cs="Arial"/>
          <w:sz w:val="18"/>
          <w:szCs w:val="18"/>
        </w:rPr>
        <w:t>2</w:t>
      </w:r>
      <w:r w:rsidR="000540E9" w:rsidRPr="000F63B2">
        <w:rPr>
          <w:rFonts w:ascii="Arial" w:hAnsi="Arial" w:cs="Arial"/>
          <w:sz w:val="18"/>
          <w:szCs w:val="18"/>
        </w:rPr>
        <w:t>1</w:t>
      </w:r>
      <w:r w:rsidRPr="000F63B2">
        <w:rPr>
          <w:rFonts w:ascii="Arial" w:hAnsi="Arial" w:cs="Arial"/>
          <w:sz w:val="18"/>
          <w:szCs w:val="18"/>
        </w:rPr>
        <w:t>-</w:t>
      </w:r>
      <w:r w:rsidR="001C053D" w:rsidRPr="000F63B2">
        <w:rPr>
          <w:rFonts w:ascii="Arial" w:hAnsi="Arial" w:cs="Arial"/>
          <w:sz w:val="18"/>
          <w:szCs w:val="18"/>
        </w:rPr>
        <w:t>0</w:t>
      </w:r>
      <w:r w:rsidR="002B2620" w:rsidRPr="000F63B2">
        <w:rPr>
          <w:rFonts w:ascii="Arial" w:hAnsi="Arial" w:cs="Arial"/>
          <w:sz w:val="18"/>
          <w:szCs w:val="18"/>
        </w:rPr>
        <w:t>5</w:t>
      </w:r>
      <w:r w:rsidR="00E53A3B" w:rsidRPr="000F63B2">
        <w:rPr>
          <w:rFonts w:ascii="Arial" w:hAnsi="Arial" w:cs="Arial"/>
          <w:sz w:val="18"/>
          <w:szCs w:val="18"/>
        </w:rPr>
        <w:t>-</w:t>
      </w:r>
      <w:r w:rsidR="002B2620" w:rsidRPr="000F63B2">
        <w:rPr>
          <w:rFonts w:ascii="Arial" w:hAnsi="Arial" w:cs="Arial"/>
          <w:sz w:val="18"/>
          <w:szCs w:val="18"/>
        </w:rPr>
        <w:t>10</w:t>
      </w:r>
      <w:r w:rsidRPr="000F63B2">
        <w:rPr>
          <w:rFonts w:ascii="Arial" w:hAnsi="Arial" w:cs="Arial"/>
          <w:sz w:val="18"/>
          <w:szCs w:val="18"/>
        </w:rPr>
        <w:t xml:space="preserve"> / </w:t>
      </w:r>
      <w:r w:rsidRPr="000F63B2">
        <w:rPr>
          <w:rFonts w:ascii="Arial" w:hAnsi="Arial" w:cs="Arial"/>
          <w:b/>
          <w:bCs/>
          <w:sz w:val="18"/>
          <w:szCs w:val="18"/>
        </w:rPr>
        <w:t xml:space="preserve">Publicado: </w:t>
      </w:r>
      <w:r w:rsidRPr="000F63B2">
        <w:rPr>
          <w:rFonts w:ascii="Arial" w:hAnsi="Arial" w:cs="Arial"/>
          <w:sz w:val="18"/>
          <w:szCs w:val="18"/>
        </w:rPr>
        <w:t>20</w:t>
      </w:r>
      <w:r w:rsidR="008C1A08" w:rsidRPr="000F63B2">
        <w:rPr>
          <w:rFonts w:ascii="Arial" w:hAnsi="Arial" w:cs="Arial"/>
          <w:sz w:val="18"/>
          <w:szCs w:val="18"/>
        </w:rPr>
        <w:t>2</w:t>
      </w:r>
      <w:r w:rsidR="000540E9" w:rsidRPr="000F63B2">
        <w:rPr>
          <w:rFonts w:ascii="Arial" w:hAnsi="Arial" w:cs="Arial"/>
          <w:sz w:val="18"/>
          <w:szCs w:val="18"/>
        </w:rPr>
        <w:t>1</w:t>
      </w:r>
      <w:r w:rsidRPr="000F63B2">
        <w:rPr>
          <w:rFonts w:ascii="Arial" w:hAnsi="Arial" w:cs="Arial"/>
          <w:sz w:val="18"/>
          <w:szCs w:val="18"/>
        </w:rPr>
        <w:t>-</w:t>
      </w:r>
      <w:r w:rsidR="001C053D" w:rsidRPr="000F63B2">
        <w:rPr>
          <w:rFonts w:ascii="Arial" w:hAnsi="Arial" w:cs="Arial"/>
          <w:sz w:val="18"/>
          <w:szCs w:val="18"/>
        </w:rPr>
        <w:t>0</w:t>
      </w:r>
      <w:r w:rsidR="002B2620" w:rsidRPr="000F63B2">
        <w:rPr>
          <w:rFonts w:ascii="Arial" w:hAnsi="Arial" w:cs="Arial"/>
          <w:sz w:val="18"/>
          <w:szCs w:val="18"/>
        </w:rPr>
        <w:t>7</w:t>
      </w:r>
      <w:r w:rsidR="00A2031A" w:rsidRPr="000F63B2">
        <w:rPr>
          <w:rFonts w:ascii="Arial" w:hAnsi="Arial" w:cs="Arial"/>
          <w:sz w:val="18"/>
          <w:szCs w:val="18"/>
        </w:rPr>
        <w:t>-</w:t>
      </w:r>
      <w:r w:rsidR="002B2620" w:rsidRPr="000F63B2">
        <w:rPr>
          <w:rFonts w:ascii="Arial" w:hAnsi="Arial" w:cs="Arial"/>
          <w:sz w:val="18"/>
          <w:szCs w:val="18"/>
        </w:rPr>
        <w:t>01</w:t>
      </w:r>
    </w:p>
    <w:p w14:paraId="6F4574E8" w14:textId="3DD9A629" w:rsidR="000558C0" w:rsidRPr="000F63B2" w:rsidRDefault="00582DB4" w:rsidP="007551FD">
      <w:pPr>
        <w:autoSpaceDE w:val="0"/>
        <w:autoSpaceDN w:val="0"/>
        <w:adjustRightInd w:val="0"/>
        <w:spacing w:after="0" w:line="240" w:lineRule="auto"/>
        <w:jc w:val="center"/>
        <w:rPr>
          <w:rFonts w:ascii="Arial" w:hAnsi="Arial" w:cs="Arial"/>
          <w:sz w:val="18"/>
          <w:szCs w:val="18"/>
        </w:rPr>
      </w:pPr>
      <w:r w:rsidRPr="000F63B2">
        <w:rPr>
          <w:rFonts w:ascii="Arial" w:hAnsi="Arial" w:cs="Arial"/>
          <w:noProof/>
          <w:lang w:val="en-US"/>
        </w:rPr>
        <mc:AlternateContent>
          <mc:Choice Requires="wps">
            <w:drawing>
              <wp:anchor distT="0" distB="0" distL="114300" distR="114300" simplePos="0" relativeHeight="251657216" behindDoc="0" locked="0" layoutInCell="1" allowOverlap="1" wp14:anchorId="0474CE33" wp14:editId="34EE8BD0">
                <wp:simplePos x="0" y="0"/>
                <wp:positionH relativeFrom="margin">
                  <wp:posOffset>-82550</wp:posOffset>
                </wp:positionH>
                <wp:positionV relativeFrom="paragraph">
                  <wp:posOffset>46355</wp:posOffset>
                </wp:positionV>
                <wp:extent cx="5898673" cy="393700"/>
                <wp:effectExtent l="0" t="0" r="0" b="635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8673" cy="393700"/>
                        </a:xfrm>
                        <a:prstGeom prst="rect">
                          <a:avLst/>
                        </a:prstGeom>
                        <a:noFill/>
                        <a:ln w="9525">
                          <a:noFill/>
                          <a:miter lim="800000"/>
                          <a:headEnd/>
                          <a:tailEnd/>
                        </a:ln>
                      </wps:spPr>
                      <wps:txbx>
                        <w:txbxContent>
                          <w:p w14:paraId="5F234E38" w14:textId="546D384C" w:rsidR="00910F68" w:rsidRPr="007A1AC7" w:rsidRDefault="00910F68" w:rsidP="000164AF">
                            <w:pPr>
                              <w:pStyle w:val="Standard"/>
                              <w:jc w:val="both"/>
                              <w:rPr>
                                <w:rFonts w:ascii="Arial" w:hAnsi="Arial" w:cs="Arial"/>
                                <w:iCs/>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001C053D">
                              <w:rPr>
                                <w:rFonts w:ascii="Arial" w:hAnsi="Arial" w:cs="Arial"/>
                                <w:iCs/>
                                <w:sz w:val="18"/>
                                <w:szCs w:val="18"/>
                                <w:lang w:val="es-EC"/>
                              </w:rPr>
                              <w:t>Andrade</w:t>
                            </w:r>
                            <w:r w:rsidR="002B2620">
                              <w:rPr>
                                <w:rFonts w:ascii="Arial" w:hAnsi="Arial" w:cs="Arial"/>
                                <w:iCs/>
                                <w:sz w:val="18"/>
                                <w:szCs w:val="18"/>
                                <w:lang w:val="es-EC"/>
                              </w:rPr>
                              <w:t>-</w:t>
                            </w:r>
                            <w:proofErr w:type="spellStart"/>
                            <w:r w:rsidR="002B2620">
                              <w:rPr>
                                <w:rFonts w:ascii="Arial" w:hAnsi="Arial" w:cs="Arial"/>
                                <w:iCs/>
                                <w:sz w:val="18"/>
                                <w:szCs w:val="18"/>
                                <w:lang w:val="es-EC"/>
                              </w:rPr>
                              <w:t>Chauvín</w:t>
                            </w:r>
                            <w:proofErr w:type="spellEnd"/>
                            <w:r w:rsidR="001C053D">
                              <w:rPr>
                                <w:rFonts w:ascii="Arial" w:hAnsi="Arial" w:cs="Arial"/>
                                <w:iCs/>
                                <w:sz w:val="18"/>
                                <w:szCs w:val="18"/>
                                <w:lang w:val="es-EC"/>
                              </w:rPr>
                              <w:t>, W</w:t>
                            </w:r>
                            <w:r w:rsidR="000540E9">
                              <w:rPr>
                                <w:rFonts w:ascii="Arial" w:hAnsi="Arial" w:cs="Arial"/>
                                <w:iCs/>
                                <w:sz w:val="18"/>
                                <w:szCs w:val="18"/>
                                <w:lang w:val="es-EC"/>
                              </w:rPr>
                              <w:t xml:space="preserve">. </w:t>
                            </w:r>
                            <w:r w:rsidR="001C053D">
                              <w:rPr>
                                <w:rFonts w:ascii="Arial" w:hAnsi="Arial" w:cs="Arial"/>
                                <w:iCs/>
                                <w:sz w:val="18"/>
                                <w:szCs w:val="18"/>
                                <w:lang w:val="es-EC"/>
                              </w:rPr>
                              <w:t>L</w:t>
                            </w:r>
                            <w:r w:rsidR="000540E9">
                              <w:rPr>
                                <w:rFonts w:ascii="Arial" w:hAnsi="Arial" w:cs="Arial"/>
                                <w:iCs/>
                                <w:sz w:val="18"/>
                                <w:szCs w:val="18"/>
                                <w:lang w:val="es-EC"/>
                              </w:rPr>
                              <w:t>.</w:t>
                            </w:r>
                            <w:r w:rsidRPr="007A1AC7">
                              <w:rPr>
                                <w:rFonts w:ascii="Arial" w:hAnsi="Arial" w:cs="Arial"/>
                                <w:sz w:val="18"/>
                                <w:szCs w:val="18"/>
                              </w:rPr>
                              <w:t xml:space="preserve"> (202</w:t>
                            </w:r>
                            <w:r w:rsidR="001C053D">
                              <w:rPr>
                                <w:rFonts w:ascii="Arial" w:hAnsi="Arial" w:cs="Arial"/>
                                <w:sz w:val="18"/>
                                <w:szCs w:val="18"/>
                              </w:rPr>
                              <w:t>1</w:t>
                            </w:r>
                            <w:r w:rsidRPr="007A1AC7">
                              <w:rPr>
                                <w:rFonts w:ascii="Arial" w:hAnsi="Arial" w:cs="Arial"/>
                                <w:sz w:val="18"/>
                                <w:szCs w:val="18"/>
                              </w:rPr>
                              <w:t xml:space="preserve">). </w:t>
                            </w:r>
                            <w:r w:rsidR="001C053D">
                              <w:rPr>
                                <w:rFonts w:ascii="Arial" w:hAnsi="Arial" w:cs="Arial"/>
                                <w:sz w:val="18"/>
                                <w:szCs w:val="18"/>
                                <w:lang w:val="es-MX"/>
                              </w:rPr>
                              <w:t>El estrés y el consumo de alcohol durante la pandemia de la COVID-19</w:t>
                            </w:r>
                            <w:r w:rsidR="00980944">
                              <w:rPr>
                                <w:rFonts w:ascii="Arial" w:hAnsi="Arial" w:cs="Arial"/>
                                <w:sz w:val="18"/>
                                <w:szCs w:val="18"/>
                                <w:lang w:val="es-ES"/>
                              </w:rPr>
                              <w:t xml:space="preserve">. </w:t>
                            </w:r>
                            <w:r w:rsidRPr="007A1AC7">
                              <w:rPr>
                                <w:rFonts w:ascii="Arial" w:hAnsi="Arial" w:cs="Arial"/>
                                <w:i/>
                                <w:iCs/>
                                <w:sz w:val="18"/>
                                <w:szCs w:val="18"/>
                              </w:rPr>
                              <w:t>Retos de la Ciencia</w:t>
                            </w:r>
                            <w:r w:rsidRPr="007A1AC7">
                              <w:rPr>
                                <w:rFonts w:ascii="Arial" w:hAnsi="Arial" w:cs="Arial"/>
                                <w:sz w:val="18"/>
                                <w:szCs w:val="18"/>
                                <w:lang w:bidi="ar-SA"/>
                              </w:rPr>
                              <w:t xml:space="preserve">. </w:t>
                            </w:r>
                            <w:r w:rsidR="001C053D">
                              <w:rPr>
                                <w:rFonts w:ascii="Arial" w:hAnsi="Arial" w:cs="Arial"/>
                                <w:sz w:val="18"/>
                                <w:szCs w:val="18"/>
                                <w:lang w:bidi="ar-SA"/>
                              </w:rPr>
                              <w:t>5</w:t>
                            </w:r>
                            <w:r w:rsidRPr="007A1AC7">
                              <w:rPr>
                                <w:rFonts w:ascii="Arial" w:hAnsi="Arial" w:cs="Arial"/>
                                <w:sz w:val="18"/>
                                <w:szCs w:val="18"/>
                                <w:lang w:bidi="ar-SA"/>
                              </w:rPr>
                              <w:t>(</w:t>
                            </w:r>
                            <w:r w:rsidR="001C053D">
                              <w:rPr>
                                <w:rFonts w:ascii="Arial" w:hAnsi="Arial" w:cs="Arial"/>
                                <w:sz w:val="18"/>
                                <w:szCs w:val="18"/>
                                <w:lang w:bidi="ar-SA"/>
                              </w:rPr>
                              <w:t>1</w:t>
                            </w:r>
                            <w:r w:rsidR="00E746AE">
                              <w:rPr>
                                <w:rFonts w:ascii="Arial" w:hAnsi="Arial" w:cs="Arial"/>
                                <w:sz w:val="18"/>
                                <w:szCs w:val="18"/>
                                <w:lang w:bidi="ar-SA"/>
                              </w:rPr>
                              <w:t>1</w:t>
                            </w:r>
                            <w:r w:rsidRPr="007A1AC7">
                              <w:rPr>
                                <w:rFonts w:ascii="Arial" w:hAnsi="Arial" w:cs="Arial"/>
                                <w:sz w:val="18"/>
                                <w:szCs w:val="18"/>
                                <w:lang w:bidi="ar-SA"/>
                              </w:rPr>
                              <w:t xml:space="preserve">), </w:t>
                            </w:r>
                            <w:r w:rsidRPr="006A07F4">
                              <w:rPr>
                                <w:rFonts w:ascii="Arial" w:hAnsi="Arial" w:cs="Arial"/>
                                <w:sz w:val="18"/>
                                <w:szCs w:val="18"/>
                                <w:lang w:val="es-MX"/>
                              </w:rPr>
                              <w:t>pp.</w:t>
                            </w:r>
                            <w:r w:rsidR="007A1AC7" w:rsidRPr="006A07F4">
                              <w:rPr>
                                <w:rFonts w:ascii="Arial" w:hAnsi="Arial" w:cs="Arial"/>
                                <w:sz w:val="18"/>
                                <w:szCs w:val="18"/>
                                <w:lang w:val="es-MX"/>
                              </w:rPr>
                              <w:t xml:space="preserve"> </w:t>
                            </w:r>
                            <w:r w:rsidR="00D96864">
                              <w:rPr>
                                <w:rFonts w:ascii="Arial" w:hAnsi="Arial" w:cs="Arial"/>
                                <w:sz w:val="18"/>
                                <w:szCs w:val="18"/>
                                <w:lang w:val="es-MX"/>
                              </w:rPr>
                              <w:t>1</w:t>
                            </w:r>
                            <w:r w:rsidR="001A3874">
                              <w:rPr>
                                <w:rFonts w:ascii="Arial" w:hAnsi="Arial" w:cs="Arial"/>
                                <w:sz w:val="18"/>
                                <w:szCs w:val="18"/>
                                <w:lang w:val="es-MX"/>
                              </w:rPr>
                              <w:t>3</w:t>
                            </w:r>
                            <w:r w:rsidR="00D96864">
                              <w:rPr>
                                <w:rFonts w:ascii="Arial" w:hAnsi="Arial" w:cs="Arial"/>
                                <w:sz w:val="18"/>
                                <w:szCs w:val="18"/>
                                <w:lang w:val="es-MX"/>
                              </w:rPr>
                              <w:t>-</w:t>
                            </w:r>
                            <w:r w:rsidR="001A3874">
                              <w:rPr>
                                <w:rFonts w:ascii="Arial" w:hAnsi="Arial" w:cs="Arial"/>
                                <w:sz w:val="18"/>
                                <w:szCs w:val="18"/>
                                <w:lang w:val="es-MX"/>
                              </w:rPr>
                              <w:t>24</w:t>
                            </w:r>
                            <w:r w:rsidRPr="006A07F4">
                              <w:rPr>
                                <w:rFonts w:ascii="Arial" w:hAnsi="Arial" w:cs="Arial"/>
                                <w:sz w:val="18"/>
                                <w:szCs w:val="18"/>
                                <w:lang w:val="es-MX"/>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74CE33" id="_x0000_t202" coordsize="21600,21600" o:spt="202" path="m,l,21600r21600,l21600,xe">
                <v:stroke joinstyle="miter"/>
                <v:path gradientshapeok="t" o:connecttype="rect"/>
              </v:shapetype>
              <v:shape id="Cuadro de texto 2" o:spid="_x0000_s1026" type="#_x0000_t202" style="position:absolute;left:0;text-align:left;margin-left:-6.5pt;margin-top:3.65pt;width:464.45pt;height:31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" filled="f" stroked="f">
                <v:textbox>
                  <w:txbxContent>
                    <w:p w14:paraId="5F234E38" w14:textId="546D384C" w:rsidR="00910F68" w:rsidRPr="007A1AC7" w:rsidRDefault="00910F68" w:rsidP="000164AF">
                      <w:pPr>
                        <w:pStyle w:val="Standard"/>
                        <w:jc w:val="both"/>
                        <w:rPr>
                          <w:rFonts w:ascii="Arial" w:hAnsi="Arial" w:cs="Arial"/>
                          <w:iCs/>
                          <w:sz w:val="18"/>
                          <w:szCs w:val="18"/>
                          <w:lang w:val="es-EC"/>
                        </w:rPr>
                      </w:pPr>
                      <w:r w:rsidRPr="00A2366E">
                        <w:rPr>
                          <w:rFonts w:ascii="Arial" w:hAnsi="Arial" w:cs="Arial"/>
                          <w:color w:val="C00000"/>
                          <w:sz w:val="18"/>
                          <w:szCs w:val="18"/>
                        </w:rPr>
                        <w:t>Forma sugerida de citar:</w:t>
                      </w:r>
                      <w:r>
                        <w:rPr>
                          <w:rFonts w:ascii="Arial" w:hAnsi="Arial" w:cs="Arial"/>
                          <w:sz w:val="18"/>
                          <w:szCs w:val="18"/>
                          <w:lang w:val="es-EC"/>
                        </w:rPr>
                        <w:t xml:space="preserve"> </w:t>
                      </w:r>
                      <w:r w:rsidR="001C053D">
                        <w:rPr>
                          <w:rFonts w:ascii="Arial" w:hAnsi="Arial" w:cs="Arial"/>
                          <w:iCs/>
                          <w:sz w:val="18"/>
                          <w:szCs w:val="18"/>
                          <w:lang w:val="es-EC"/>
                        </w:rPr>
                        <w:t>Andrade</w:t>
                      </w:r>
                      <w:r w:rsidR="002B2620">
                        <w:rPr>
                          <w:rFonts w:ascii="Arial" w:hAnsi="Arial" w:cs="Arial"/>
                          <w:iCs/>
                          <w:sz w:val="18"/>
                          <w:szCs w:val="18"/>
                          <w:lang w:val="es-EC"/>
                        </w:rPr>
                        <w:t>-</w:t>
                      </w:r>
                      <w:proofErr w:type="spellStart"/>
                      <w:r w:rsidR="002B2620">
                        <w:rPr>
                          <w:rFonts w:ascii="Arial" w:hAnsi="Arial" w:cs="Arial"/>
                          <w:iCs/>
                          <w:sz w:val="18"/>
                          <w:szCs w:val="18"/>
                          <w:lang w:val="es-EC"/>
                        </w:rPr>
                        <w:t>Chauvín</w:t>
                      </w:r>
                      <w:proofErr w:type="spellEnd"/>
                      <w:r w:rsidR="001C053D">
                        <w:rPr>
                          <w:rFonts w:ascii="Arial" w:hAnsi="Arial" w:cs="Arial"/>
                          <w:iCs/>
                          <w:sz w:val="18"/>
                          <w:szCs w:val="18"/>
                          <w:lang w:val="es-EC"/>
                        </w:rPr>
                        <w:t>, W</w:t>
                      </w:r>
                      <w:r w:rsidR="000540E9">
                        <w:rPr>
                          <w:rFonts w:ascii="Arial" w:hAnsi="Arial" w:cs="Arial"/>
                          <w:iCs/>
                          <w:sz w:val="18"/>
                          <w:szCs w:val="18"/>
                          <w:lang w:val="es-EC"/>
                        </w:rPr>
                        <w:t xml:space="preserve">. </w:t>
                      </w:r>
                      <w:r w:rsidR="001C053D">
                        <w:rPr>
                          <w:rFonts w:ascii="Arial" w:hAnsi="Arial" w:cs="Arial"/>
                          <w:iCs/>
                          <w:sz w:val="18"/>
                          <w:szCs w:val="18"/>
                          <w:lang w:val="es-EC"/>
                        </w:rPr>
                        <w:t>L</w:t>
                      </w:r>
                      <w:r w:rsidR="000540E9">
                        <w:rPr>
                          <w:rFonts w:ascii="Arial" w:hAnsi="Arial" w:cs="Arial"/>
                          <w:iCs/>
                          <w:sz w:val="18"/>
                          <w:szCs w:val="18"/>
                          <w:lang w:val="es-EC"/>
                        </w:rPr>
                        <w:t>.</w:t>
                      </w:r>
                      <w:r w:rsidRPr="007A1AC7">
                        <w:rPr>
                          <w:rFonts w:ascii="Arial" w:hAnsi="Arial" w:cs="Arial"/>
                          <w:sz w:val="18"/>
                          <w:szCs w:val="18"/>
                        </w:rPr>
                        <w:t xml:space="preserve"> (202</w:t>
                      </w:r>
                      <w:r w:rsidR="001C053D">
                        <w:rPr>
                          <w:rFonts w:ascii="Arial" w:hAnsi="Arial" w:cs="Arial"/>
                          <w:sz w:val="18"/>
                          <w:szCs w:val="18"/>
                        </w:rPr>
                        <w:t>1</w:t>
                      </w:r>
                      <w:r w:rsidRPr="007A1AC7">
                        <w:rPr>
                          <w:rFonts w:ascii="Arial" w:hAnsi="Arial" w:cs="Arial"/>
                          <w:sz w:val="18"/>
                          <w:szCs w:val="18"/>
                        </w:rPr>
                        <w:t xml:space="preserve">). </w:t>
                      </w:r>
                      <w:r w:rsidR="001C053D">
                        <w:rPr>
                          <w:rFonts w:ascii="Arial" w:hAnsi="Arial" w:cs="Arial"/>
                          <w:sz w:val="18"/>
                          <w:szCs w:val="18"/>
                          <w:lang w:val="es-MX"/>
                        </w:rPr>
                        <w:t>El estrés y el consumo de alcohol durante la pandemia de la COVID-19</w:t>
                      </w:r>
                      <w:r w:rsidR="00980944">
                        <w:rPr>
                          <w:rFonts w:ascii="Arial" w:hAnsi="Arial" w:cs="Arial"/>
                          <w:sz w:val="18"/>
                          <w:szCs w:val="18"/>
                          <w:lang w:val="es-ES"/>
                        </w:rPr>
                        <w:t xml:space="preserve">. </w:t>
                      </w:r>
                      <w:r w:rsidRPr="007A1AC7">
                        <w:rPr>
                          <w:rFonts w:ascii="Arial" w:hAnsi="Arial" w:cs="Arial"/>
                          <w:i/>
                          <w:iCs/>
                          <w:sz w:val="18"/>
                          <w:szCs w:val="18"/>
                        </w:rPr>
                        <w:t>Retos de la Ciencia</w:t>
                      </w:r>
                      <w:r w:rsidRPr="007A1AC7">
                        <w:rPr>
                          <w:rFonts w:ascii="Arial" w:hAnsi="Arial" w:cs="Arial"/>
                          <w:sz w:val="18"/>
                          <w:szCs w:val="18"/>
                          <w:lang w:bidi="ar-SA"/>
                        </w:rPr>
                        <w:t xml:space="preserve">. </w:t>
                      </w:r>
                      <w:r w:rsidR="001C053D">
                        <w:rPr>
                          <w:rFonts w:ascii="Arial" w:hAnsi="Arial" w:cs="Arial"/>
                          <w:sz w:val="18"/>
                          <w:szCs w:val="18"/>
                          <w:lang w:bidi="ar-SA"/>
                        </w:rPr>
                        <w:t>5</w:t>
                      </w:r>
                      <w:r w:rsidRPr="007A1AC7">
                        <w:rPr>
                          <w:rFonts w:ascii="Arial" w:hAnsi="Arial" w:cs="Arial"/>
                          <w:sz w:val="18"/>
                          <w:szCs w:val="18"/>
                          <w:lang w:bidi="ar-SA"/>
                        </w:rPr>
                        <w:t>(</w:t>
                      </w:r>
                      <w:r w:rsidR="001C053D">
                        <w:rPr>
                          <w:rFonts w:ascii="Arial" w:hAnsi="Arial" w:cs="Arial"/>
                          <w:sz w:val="18"/>
                          <w:szCs w:val="18"/>
                          <w:lang w:bidi="ar-SA"/>
                        </w:rPr>
                        <w:t>1</w:t>
                      </w:r>
                      <w:r w:rsidR="00E746AE">
                        <w:rPr>
                          <w:rFonts w:ascii="Arial" w:hAnsi="Arial" w:cs="Arial"/>
                          <w:sz w:val="18"/>
                          <w:szCs w:val="18"/>
                          <w:lang w:bidi="ar-SA"/>
                        </w:rPr>
                        <w:t>1</w:t>
                      </w:r>
                      <w:r w:rsidRPr="007A1AC7">
                        <w:rPr>
                          <w:rFonts w:ascii="Arial" w:hAnsi="Arial" w:cs="Arial"/>
                          <w:sz w:val="18"/>
                          <w:szCs w:val="18"/>
                          <w:lang w:bidi="ar-SA"/>
                        </w:rPr>
                        <w:t xml:space="preserve">), </w:t>
                      </w:r>
                      <w:r w:rsidRPr="006A07F4">
                        <w:rPr>
                          <w:rFonts w:ascii="Arial" w:hAnsi="Arial" w:cs="Arial"/>
                          <w:sz w:val="18"/>
                          <w:szCs w:val="18"/>
                          <w:lang w:val="es-MX"/>
                        </w:rPr>
                        <w:t>pp.</w:t>
                      </w:r>
                      <w:r w:rsidR="007A1AC7" w:rsidRPr="006A07F4">
                        <w:rPr>
                          <w:rFonts w:ascii="Arial" w:hAnsi="Arial" w:cs="Arial"/>
                          <w:sz w:val="18"/>
                          <w:szCs w:val="18"/>
                          <w:lang w:val="es-MX"/>
                        </w:rPr>
                        <w:t xml:space="preserve"> </w:t>
                      </w:r>
                      <w:r w:rsidR="00D96864">
                        <w:rPr>
                          <w:rFonts w:ascii="Arial" w:hAnsi="Arial" w:cs="Arial"/>
                          <w:sz w:val="18"/>
                          <w:szCs w:val="18"/>
                          <w:lang w:val="es-MX"/>
                        </w:rPr>
                        <w:t>1</w:t>
                      </w:r>
                      <w:r w:rsidR="001A3874">
                        <w:rPr>
                          <w:rFonts w:ascii="Arial" w:hAnsi="Arial" w:cs="Arial"/>
                          <w:sz w:val="18"/>
                          <w:szCs w:val="18"/>
                          <w:lang w:val="es-MX"/>
                        </w:rPr>
                        <w:t>3</w:t>
                      </w:r>
                      <w:r w:rsidR="00D96864">
                        <w:rPr>
                          <w:rFonts w:ascii="Arial" w:hAnsi="Arial" w:cs="Arial"/>
                          <w:sz w:val="18"/>
                          <w:szCs w:val="18"/>
                          <w:lang w:val="es-MX"/>
                        </w:rPr>
                        <w:t>-</w:t>
                      </w:r>
                      <w:r w:rsidR="001A3874">
                        <w:rPr>
                          <w:rFonts w:ascii="Arial" w:hAnsi="Arial" w:cs="Arial"/>
                          <w:sz w:val="18"/>
                          <w:szCs w:val="18"/>
                          <w:lang w:val="es-MX"/>
                        </w:rPr>
                        <w:t>24</w:t>
                      </w:r>
                      <w:r w:rsidRPr="006A07F4">
                        <w:rPr>
                          <w:rFonts w:ascii="Arial" w:hAnsi="Arial" w:cs="Arial"/>
                          <w:sz w:val="18"/>
                          <w:szCs w:val="18"/>
                          <w:lang w:val="es-MX"/>
                        </w:rPr>
                        <w:t>.</w:t>
                      </w:r>
                    </w:p>
                  </w:txbxContent>
                </v:textbox>
                <w10:wrap anchorx="margin"/>
              </v:shape>
            </w:pict>
          </mc:Fallback>
        </mc:AlternateContent>
      </w:r>
    </w:p>
    <w:p w14:paraId="56A2EC61" w14:textId="176FFA15" w:rsidR="00102F7E" w:rsidRPr="000F63B2" w:rsidRDefault="00102F7E" w:rsidP="007551FD">
      <w:pPr>
        <w:autoSpaceDE w:val="0"/>
        <w:autoSpaceDN w:val="0"/>
        <w:adjustRightInd w:val="0"/>
        <w:spacing w:after="0" w:line="240" w:lineRule="auto"/>
        <w:jc w:val="center"/>
        <w:rPr>
          <w:rFonts w:ascii="Arial" w:hAnsi="Arial" w:cs="Arial"/>
          <w:b/>
          <w:sz w:val="20"/>
          <w:szCs w:val="20"/>
        </w:rPr>
      </w:pPr>
    </w:p>
    <w:p w14:paraId="43532812" w14:textId="533D4BBC" w:rsidR="00102F7E" w:rsidRPr="000F63B2" w:rsidRDefault="00102F7E" w:rsidP="007551FD">
      <w:pPr>
        <w:autoSpaceDE w:val="0"/>
        <w:autoSpaceDN w:val="0"/>
        <w:adjustRightInd w:val="0"/>
        <w:spacing w:after="0" w:line="240" w:lineRule="auto"/>
        <w:jc w:val="center"/>
        <w:rPr>
          <w:rFonts w:ascii="Arial" w:hAnsi="Arial" w:cs="Arial"/>
          <w:b/>
          <w:sz w:val="20"/>
          <w:szCs w:val="20"/>
        </w:rPr>
      </w:pPr>
    </w:p>
    <w:p w14:paraId="6835046B" w14:textId="718F5684" w:rsidR="001B0901" w:rsidRPr="000F63B2" w:rsidRDefault="004167E3" w:rsidP="00D22D07">
      <w:pPr>
        <w:spacing w:after="0" w:line="240" w:lineRule="auto"/>
        <w:jc w:val="both"/>
        <w:rPr>
          <w:rFonts w:ascii="Arial" w:hAnsi="Arial" w:cs="Arial"/>
          <w:b/>
        </w:rPr>
      </w:pPr>
      <w:r w:rsidRPr="000F63B2">
        <w:rPr>
          <w:rFonts w:ascii="Arial" w:hAnsi="Arial" w:cs="Arial"/>
          <w:b/>
          <w:bCs/>
          <w:noProof/>
          <w:sz w:val="26"/>
          <w:szCs w:val="26"/>
          <w:lang w:val="en-US"/>
        </w:rPr>
        <mc:AlternateContent>
          <mc:Choice Requires="wps">
            <w:drawing>
              <wp:anchor distT="0" distB="0" distL="114300" distR="114300" simplePos="0" relativeHeight="251659264" behindDoc="0" locked="0" layoutInCell="1" allowOverlap="1" wp14:anchorId="61A92C6D" wp14:editId="303823BF">
                <wp:simplePos x="0" y="0"/>
                <wp:positionH relativeFrom="margin">
                  <wp:posOffset>12700</wp:posOffset>
                </wp:positionH>
                <wp:positionV relativeFrom="paragraph">
                  <wp:posOffset>18415</wp:posOffset>
                </wp:positionV>
                <wp:extent cx="5731510" cy="0"/>
                <wp:effectExtent l="0" t="0" r="21590" b="19050"/>
                <wp:wrapNone/>
                <wp:docPr id="11" name="1 Conector recto"/>
                <wp:cNvGraphicFramePr/>
                <a:graphic xmlns:a="http://schemas.openxmlformats.org/drawingml/2006/main">
                  <a:graphicData uri="http://schemas.microsoft.com/office/word/2010/wordprocessingShape">
                    <wps:wsp>
                      <wps:cNvCnPr/>
                      <wps:spPr>
                        <a:xfrm>
                          <a:off x="0" y="0"/>
                          <a:ext cx="5731510"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8F646F" id="1 Conector recto"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1.45pt" to="452.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VZItQEAAMADAAAOAAAAZHJzL2Uyb0RvYy54bWysU01v2zAMvRfYfxB0X2xnaF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" strokecolor="#bc4542 [3045]">
                <w10:wrap anchorx="margin"/>
              </v:line>
            </w:pict>
          </mc:Fallback>
        </mc:AlternateContent>
      </w:r>
    </w:p>
    <w:p w14:paraId="43C6C5A6" w14:textId="129EE766" w:rsidR="005271E4" w:rsidRPr="000F63B2" w:rsidRDefault="005271E4" w:rsidP="005271E4">
      <w:pPr>
        <w:spacing w:after="0" w:line="240" w:lineRule="auto"/>
        <w:jc w:val="both"/>
        <w:rPr>
          <w:rFonts w:ascii="Arial" w:hAnsi="Arial" w:cs="Arial"/>
          <w:b/>
          <w:sz w:val="24"/>
          <w:szCs w:val="24"/>
          <w:lang w:val="es-MX"/>
        </w:rPr>
      </w:pPr>
      <w:r w:rsidRPr="000F63B2">
        <w:rPr>
          <w:rFonts w:ascii="Arial" w:hAnsi="Arial" w:cs="Arial"/>
          <w:b/>
          <w:sz w:val="24"/>
          <w:szCs w:val="24"/>
          <w:lang w:val="es-MX"/>
        </w:rPr>
        <w:t>RESUMEN</w:t>
      </w:r>
    </w:p>
    <w:p w14:paraId="752000C7" w14:textId="77777777" w:rsidR="005271E4" w:rsidRPr="000F63B2" w:rsidRDefault="005271E4" w:rsidP="005271E4">
      <w:pPr>
        <w:spacing w:after="0" w:line="240" w:lineRule="auto"/>
        <w:jc w:val="both"/>
        <w:rPr>
          <w:rFonts w:ascii="Arial" w:hAnsi="Arial" w:cs="Arial"/>
          <w:b/>
          <w:sz w:val="24"/>
          <w:szCs w:val="24"/>
          <w:lang w:val="es-MX"/>
        </w:rPr>
      </w:pPr>
    </w:p>
    <w:p w14:paraId="5336869D" w14:textId="5F9E9A63" w:rsidR="00DE52EF" w:rsidRPr="000F63B2" w:rsidRDefault="00DE52EF" w:rsidP="00DE52EF">
      <w:pPr>
        <w:spacing w:after="0" w:line="240" w:lineRule="auto"/>
        <w:jc w:val="both"/>
        <w:rPr>
          <w:rFonts w:ascii="Arial" w:hAnsi="Arial" w:cs="Arial"/>
          <w:bCs/>
          <w:sz w:val="24"/>
          <w:szCs w:val="24"/>
          <w:lang w:val="es-EC"/>
        </w:rPr>
      </w:pPr>
      <w:bookmarkStart w:id="4" w:name="_Hlk56547198"/>
      <w:r w:rsidRPr="000F63B2">
        <w:rPr>
          <w:rFonts w:ascii="Arial" w:hAnsi="Arial" w:cs="Arial"/>
          <w:bCs/>
          <w:sz w:val="24"/>
          <w:szCs w:val="24"/>
          <w:lang w:val="es-EC"/>
        </w:rPr>
        <w:t xml:space="preserve">EL presente trabajo describe la relación existente entre el estrés y el consumo de alcohol, durante el periodo de confinamiento social producto de la pandemia de la COVID-19. Se parte de que existe un incremento de estrés que incita al consumo de alcohol, en la población entre los 18 a 55 años. El confinamiento social es un contexto estresante que conlleva el incremento del estrés transformándose este en el estrés postraumático, el confinamiento se aplicó para prevenir el contagio masivo del nuevo virus, después de que la Organización Mundial de la Salud recomienda la aplicación de normas de bioseguridad para la enfermedad. Se realizó la recopilación de 47 artículos académicos publicados en el año 2020, desde el mes de marzo 2020, hasta el mes de noviembre 2020, En los resultados se encuentra que del mes de marzo al mes de abril hubo un aumento del consumo de alcohol, como automedicación en situaciones de estrés como una medida para relajarse y tranquilizarse, esto se dio más en mujeres, y personal de salud y que para los meses posteriores mayo a junio, disminuye el consumo de alcohol. </w:t>
      </w:r>
    </w:p>
    <w:bookmarkEnd w:id="4"/>
    <w:p w14:paraId="2AF8907D" w14:textId="6B6D6A94" w:rsidR="00DE52EF" w:rsidRPr="000F63B2" w:rsidRDefault="00DE52EF" w:rsidP="00DE52EF">
      <w:pPr>
        <w:spacing w:after="0" w:line="240" w:lineRule="auto"/>
        <w:ind w:firstLine="426"/>
        <w:jc w:val="both"/>
        <w:rPr>
          <w:rFonts w:ascii="Arial" w:hAnsi="Arial" w:cs="Arial"/>
          <w:b/>
          <w:bCs/>
          <w:iCs/>
          <w:sz w:val="24"/>
          <w:szCs w:val="24"/>
          <w:lang w:val="es-EC"/>
        </w:rPr>
      </w:pPr>
      <w:r w:rsidRPr="000F63B2">
        <w:rPr>
          <w:rFonts w:ascii="Arial" w:hAnsi="Arial" w:cs="Arial"/>
          <w:b/>
          <w:iCs/>
          <w:sz w:val="24"/>
          <w:szCs w:val="24"/>
          <w:lang w:val="es-EC"/>
        </w:rPr>
        <w:t>Palabras clave:</w:t>
      </w:r>
      <w:r w:rsidRPr="000F63B2">
        <w:rPr>
          <w:rFonts w:ascii="Arial" w:hAnsi="Arial" w:cs="Arial"/>
          <w:b/>
          <w:bCs/>
          <w:iCs/>
          <w:sz w:val="24"/>
          <w:szCs w:val="24"/>
          <w:lang w:val="es-EC"/>
        </w:rPr>
        <w:t xml:space="preserve"> </w:t>
      </w:r>
      <w:r w:rsidRPr="000F63B2">
        <w:rPr>
          <w:rFonts w:ascii="Arial" w:hAnsi="Arial" w:cs="Arial"/>
          <w:iCs/>
          <w:sz w:val="24"/>
          <w:szCs w:val="24"/>
          <w:lang w:val="es-EC"/>
        </w:rPr>
        <w:t>covid-19, estrés, consumo de alcohol, confinamiento social, salud mental.</w:t>
      </w:r>
    </w:p>
    <w:p w14:paraId="5D8B7125" w14:textId="77777777" w:rsidR="005271E4" w:rsidRPr="000F63B2" w:rsidRDefault="005271E4" w:rsidP="005271E4">
      <w:pPr>
        <w:spacing w:after="0" w:line="240" w:lineRule="auto"/>
        <w:ind w:firstLine="426"/>
        <w:jc w:val="both"/>
        <w:rPr>
          <w:rFonts w:ascii="Arial" w:hAnsi="Arial" w:cs="Arial"/>
          <w:bCs/>
          <w:iCs/>
          <w:sz w:val="24"/>
          <w:szCs w:val="24"/>
          <w:lang w:val="es-EC"/>
        </w:rPr>
      </w:pPr>
    </w:p>
    <w:p w14:paraId="1D21AE32" w14:textId="2BBE8849" w:rsidR="005271E4" w:rsidRPr="000F63B2" w:rsidRDefault="005271E4" w:rsidP="005271E4">
      <w:pPr>
        <w:spacing w:after="0" w:line="240" w:lineRule="auto"/>
        <w:jc w:val="both"/>
        <w:rPr>
          <w:rFonts w:ascii="Arial" w:hAnsi="Arial" w:cs="Arial"/>
          <w:b/>
          <w:iCs/>
          <w:sz w:val="24"/>
          <w:szCs w:val="24"/>
          <w:lang w:val="en-US"/>
        </w:rPr>
      </w:pPr>
      <w:r w:rsidRPr="000F63B2">
        <w:rPr>
          <w:rFonts w:ascii="Arial" w:hAnsi="Arial" w:cs="Arial"/>
          <w:b/>
          <w:sz w:val="24"/>
          <w:szCs w:val="24"/>
          <w:lang w:val="en-US"/>
        </w:rPr>
        <w:t>ABSTRACT</w:t>
      </w:r>
    </w:p>
    <w:p w14:paraId="030FC911" w14:textId="77777777" w:rsidR="005271E4" w:rsidRPr="000F63B2" w:rsidRDefault="005271E4" w:rsidP="005271E4">
      <w:pPr>
        <w:spacing w:after="0" w:line="240" w:lineRule="auto"/>
        <w:ind w:firstLine="426"/>
        <w:jc w:val="both"/>
        <w:rPr>
          <w:rFonts w:ascii="Arial" w:hAnsi="Arial" w:cs="Arial"/>
          <w:bCs/>
          <w:iCs/>
          <w:sz w:val="24"/>
          <w:szCs w:val="24"/>
          <w:lang w:val="en-US"/>
        </w:rPr>
      </w:pPr>
    </w:p>
    <w:p w14:paraId="03198A44" w14:textId="6CC27757" w:rsidR="00DE52EF" w:rsidRPr="000F63B2" w:rsidRDefault="00DE52EF" w:rsidP="00DE52EF">
      <w:pPr>
        <w:spacing w:after="0" w:line="240" w:lineRule="auto"/>
        <w:jc w:val="both"/>
        <w:rPr>
          <w:rFonts w:ascii="Arial" w:hAnsi="Arial" w:cs="Arial"/>
          <w:bCs/>
          <w:sz w:val="24"/>
          <w:szCs w:val="24"/>
          <w:lang w:val="en-US"/>
        </w:rPr>
      </w:pPr>
      <w:r w:rsidRPr="000F63B2">
        <w:rPr>
          <w:rFonts w:ascii="Arial" w:hAnsi="Arial" w:cs="Arial"/>
          <w:bCs/>
          <w:sz w:val="24"/>
          <w:szCs w:val="24"/>
          <w:lang w:val="en-US"/>
        </w:rPr>
        <w:t xml:space="preserve">This work describes the relationship between stress and alcohol consumption during the period of social confinement established because of the COVID-19 pandemic. It starts from the premise that there is an increase in stress that encourages alcohol </w:t>
      </w:r>
      <w:r w:rsidRPr="000F63B2">
        <w:rPr>
          <w:rFonts w:ascii="Arial" w:hAnsi="Arial" w:cs="Arial"/>
          <w:bCs/>
          <w:sz w:val="24"/>
          <w:szCs w:val="24"/>
          <w:lang w:val="en-US"/>
        </w:rPr>
        <w:lastRenderedPageBreak/>
        <w:t>consumption among the18 to 55-year-old population. Social confinement constitutes an environment that contributes to raising stress levels, leading to post-traumatic stress disorder. This measure was applied to prevent the massive spread of the new virus, after the World Health Organization issued biosafety and disease control guidelines. A compilation of 47 academic articles published between March 2020 and November 2020 was carried out. The results show that from March to April there was an increase in alcohol consumption as a measure of self-medication to relax and calm down during this stressful situation, and that this was more prevalent among women and health personnel, whereas for the following months - May to June - alcohol consumption decreased.</w:t>
      </w:r>
    </w:p>
    <w:p w14:paraId="1D8CE619" w14:textId="096A9BEA" w:rsidR="00DE52EF" w:rsidRPr="000F63B2" w:rsidRDefault="00DE52EF" w:rsidP="00DE52EF">
      <w:pPr>
        <w:spacing w:after="0" w:line="240" w:lineRule="auto"/>
        <w:ind w:firstLine="426"/>
        <w:jc w:val="both"/>
        <w:rPr>
          <w:rFonts w:ascii="Arial" w:hAnsi="Arial" w:cs="Arial"/>
          <w:bCs/>
          <w:sz w:val="24"/>
          <w:szCs w:val="24"/>
          <w:lang w:val="en-US"/>
        </w:rPr>
      </w:pPr>
      <w:r w:rsidRPr="000F63B2">
        <w:rPr>
          <w:rFonts w:ascii="Arial" w:hAnsi="Arial" w:cs="Arial"/>
          <w:b/>
          <w:iCs/>
          <w:sz w:val="24"/>
          <w:szCs w:val="24"/>
          <w:lang w:val="en-US"/>
        </w:rPr>
        <w:t>Keywords</w:t>
      </w:r>
      <w:r w:rsidRPr="000F63B2">
        <w:rPr>
          <w:rFonts w:ascii="Arial" w:hAnsi="Arial" w:cs="Arial"/>
          <w:b/>
          <w:sz w:val="24"/>
          <w:szCs w:val="24"/>
          <w:lang w:val="en-US"/>
        </w:rPr>
        <w:t xml:space="preserve">: </w:t>
      </w:r>
      <w:r w:rsidRPr="000F63B2">
        <w:rPr>
          <w:rFonts w:ascii="Arial" w:hAnsi="Arial" w:cs="Arial"/>
          <w:bCs/>
          <w:sz w:val="24"/>
          <w:szCs w:val="24"/>
          <w:lang w:val="en-US"/>
        </w:rPr>
        <w:t>covid-19/ stress/ alcohol consumption/ social confinement/ mental health.</w:t>
      </w:r>
    </w:p>
    <w:p w14:paraId="12E34A3C" w14:textId="77777777" w:rsidR="005271E4" w:rsidRPr="000F63B2" w:rsidRDefault="005271E4" w:rsidP="005271E4">
      <w:pPr>
        <w:spacing w:after="0" w:line="240" w:lineRule="auto"/>
        <w:jc w:val="both"/>
        <w:rPr>
          <w:rFonts w:ascii="Arial" w:hAnsi="Arial" w:cs="Arial"/>
          <w:bCs/>
          <w:iCs/>
          <w:sz w:val="24"/>
          <w:szCs w:val="24"/>
          <w:lang w:val="en-US"/>
        </w:rPr>
      </w:pPr>
    </w:p>
    <w:p w14:paraId="31F99349" w14:textId="02AED219" w:rsidR="005271E4" w:rsidRPr="000F63B2" w:rsidRDefault="005271E4" w:rsidP="005271E4">
      <w:pPr>
        <w:spacing w:after="0" w:line="240" w:lineRule="auto"/>
        <w:jc w:val="both"/>
        <w:rPr>
          <w:rFonts w:ascii="Arial" w:hAnsi="Arial" w:cs="Arial"/>
          <w:b/>
          <w:iCs/>
          <w:sz w:val="24"/>
          <w:szCs w:val="24"/>
          <w:lang w:val="es-EC"/>
        </w:rPr>
      </w:pPr>
      <w:r w:rsidRPr="000F63B2">
        <w:rPr>
          <w:rFonts w:ascii="Arial" w:hAnsi="Arial" w:cs="Arial"/>
          <w:b/>
          <w:sz w:val="24"/>
          <w:szCs w:val="24"/>
          <w:lang w:val="es-MX"/>
        </w:rPr>
        <w:t>INTRODUCCIÓN</w:t>
      </w:r>
    </w:p>
    <w:p w14:paraId="231A2BEB" w14:textId="77777777" w:rsidR="005271E4" w:rsidRPr="000F63B2" w:rsidRDefault="005271E4" w:rsidP="005271E4">
      <w:pPr>
        <w:spacing w:after="0" w:line="240" w:lineRule="auto"/>
        <w:ind w:firstLine="426"/>
        <w:jc w:val="both"/>
        <w:rPr>
          <w:rFonts w:ascii="Arial" w:hAnsi="Arial" w:cs="Arial"/>
          <w:bCs/>
          <w:iCs/>
          <w:sz w:val="24"/>
          <w:szCs w:val="24"/>
          <w:lang w:val="es-EC"/>
        </w:rPr>
      </w:pPr>
    </w:p>
    <w:p w14:paraId="4E053B20" w14:textId="77777777" w:rsidR="0054283A"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 xml:space="preserve">En la pandemia se está pasando por el denominado trastorno de estrés postraumático (TEPT) se caracteriza por conductas de evitación, y síntomas de </w:t>
      </w:r>
      <w:proofErr w:type="spellStart"/>
      <w:r w:rsidRPr="000F63B2">
        <w:rPr>
          <w:rFonts w:ascii="Arial" w:hAnsi="Arial" w:cs="Arial"/>
          <w:bCs/>
          <w:sz w:val="24"/>
          <w:szCs w:val="24"/>
          <w:lang w:val="es-EC"/>
        </w:rPr>
        <w:t>hiperalerta</w:t>
      </w:r>
      <w:proofErr w:type="spellEnd"/>
      <w:r w:rsidRPr="000F63B2">
        <w:rPr>
          <w:rFonts w:ascii="Arial" w:hAnsi="Arial" w:cs="Arial"/>
          <w:bCs/>
          <w:sz w:val="24"/>
          <w:szCs w:val="24"/>
          <w:lang w:val="es-EC"/>
        </w:rPr>
        <w:t xml:space="preserve"> al acontecimiento traumático. Según la clasificación internacional de enfermedades (CIE-11) el (TEPT, 6B-40), está asociada con el miedo y la ansiedad, que puede desarrollarse después de la exposición a un evento o serie de eventos extremadamente amenazantes, como en el caso de un desastre. Estos eventos emocionales producto de cambios visibles como el encierro, alteración de rutinas, y la muerte repentina de familiares y amigos. los síntomas más frecuentes en la pandemia fueron el miedo, frustración, temor al contagio, inhibición de las relaciones sociales, las personas manifiestan estados de ánimo bajos, abatimiento o pérdida del placer, perdida de motivación, sentimiento de culpabilidad excesiva, pensamientos persistentes de inutilidad, baja en el rendimiento, poca concentración. Estos síntomas persisten a lo largo del tiempo, afectando la capacidad para tomar decisiones, produciendo pensamientos </w:t>
      </w:r>
      <w:proofErr w:type="gramStart"/>
      <w:r w:rsidRPr="000F63B2">
        <w:rPr>
          <w:rFonts w:ascii="Arial" w:hAnsi="Arial" w:cs="Arial"/>
          <w:bCs/>
          <w:sz w:val="24"/>
          <w:szCs w:val="24"/>
          <w:lang w:val="es-EC"/>
        </w:rPr>
        <w:t>en relación a</w:t>
      </w:r>
      <w:proofErr w:type="gramEnd"/>
      <w:r w:rsidRPr="000F63B2">
        <w:rPr>
          <w:rFonts w:ascii="Arial" w:hAnsi="Arial" w:cs="Arial"/>
          <w:bCs/>
          <w:sz w:val="24"/>
          <w:szCs w:val="24"/>
          <w:lang w:val="es-EC"/>
        </w:rPr>
        <w:t xml:space="preserve"> la enfermedad, ideas que ellos o su familia morirán, ideas suicidas o intentos de autolisis, de estos cinco síntomas o indicadores ya se presume depresión.</w:t>
      </w:r>
    </w:p>
    <w:p w14:paraId="0DB125B6" w14:textId="22CB1EA3" w:rsidR="00DE52EF" w:rsidRPr="000F63B2" w:rsidRDefault="0054283A"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 xml:space="preserve">       </w:t>
      </w:r>
      <w:r w:rsidR="00DE52EF" w:rsidRPr="000F63B2">
        <w:rPr>
          <w:rFonts w:ascii="Arial" w:hAnsi="Arial" w:cs="Arial"/>
          <w:bCs/>
          <w:sz w:val="24"/>
          <w:szCs w:val="24"/>
          <w:lang w:val="es-EC"/>
        </w:rPr>
        <w:t>El objetivo del presente estudio es describir la relación existente entre el estrés y el consumo de alcohol, durante el confinamiento en la pandemia de la COVID-19; para lo cual, en primera instancia, se aborda la variable “estrés”; seguidamente, la variable “alcohol” y su consumo durante la pandemia, degenerada por el confinamiento de la COVID-19.</w:t>
      </w:r>
    </w:p>
    <w:p w14:paraId="52241057" w14:textId="77777777" w:rsidR="0054283A" w:rsidRPr="000F63B2" w:rsidRDefault="00DE52EF" w:rsidP="0054283A">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Después un año de ocurrido este evento la  sintomatología psicológica persiste produciendo el deterioro funcional y cambiado significativamente la salud mental de las personas siendo el estrés el de mayor incidencia, al cabo de 12 meses de restricciones y confinamiento, podemos observar que los protocolos de bioseguridad como la aplicación de desinfectantes y alcohol tópico también son un medio productor de estrés constante, pero ya más soportables, que a su vez son reforzadores de los niveles de TEPT, hay que tomar en cuenta que pasado el evento traumático,  aparentemente puede presentarse la recuperación completa del TEPT,  pero estudios realizados por Álvarez, (2020), exponen que la sintomatología psicológica producto de esta enfermedad puede durar hasta un periodo de cuatro años, además que el grado de afectación de un agente estresor puede estar asociado a los síntomas, pero el nivel de afectación no necesariamente se relaciona con el nivel de TEPT, es decir, que el elemento estresor puede llegar a ser más </w:t>
      </w:r>
      <w:r w:rsidRPr="000F63B2">
        <w:rPr>
          <w:rFonts w:ascii="Arial" w:hAnsi="Arial" w:cs="Arial"/>
          <w:bCs/>
          <w:sz w:val="24"/>
          <w:szCs w:val="24"/>
          <w:lang w:val="es-EC"/>
        </w:rPr>
        <w:lastRenderedPageBreak/>
        <w:t xml:space="preserve">interpersonal cuando es producto de violencia o provocado intencionalmente por el hombre, o por la duración del evento. Según Carvajal, (2002), en este caso el cautiverio pasa a ser un agente estresor fuerte que obliga a cambiar las rutinas diarias, y la vida normal se altera produciendo un nivel de estrés elevado, según Cohen (2020) puede ser comparado a los producidos en las guerras, donde se presenta altos niveles de ansiedad, a su vez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{"citationID":"wzWfXMl5","properties":{"formattedCitation":"(Lei et\\uc0\\u160{}al., 2020)","plainCitation":"(Lei et al., 2020)","dontUpdate":true,"noteIndex":0},"citationItems":[{"id":"cPSG7McT/n5EHvKUp","uris":["http://zotero.org/users/local/HWFDfxM3/items/BIKMLDSF"],"uri":["http://zotero.org/users/local/HWFDfxM3/items/BIKMLDSF"],"itemData":{"id":289,"type":"article-journal","abstract":"BACKGROUND At the end of 2019, the COVID-19 outbreak began in Wuhan, Hubei, China,  and spread rapidly to the whole country within 1 month. This new epidemic caused a  great mental reaction among the public. This study aimed to assess and compare the  prevalence and associated factors of anxiety and depression among the public  affected by quarantine and those unaffected during the COVID-19 outbreak in  southwestern China in early Feb. 2020. MATERIAL AND METHODS Data were collected  using the self-rating anxiety scale (SAS) and the self-rating depression scale (SDS)  administered to 1593 respondents aged 18 years and above. The respondents were  grouped as 'affected group' and 'unaffected group' on the basis of whether they or  their families/colleagues/classmates/neighbors had been quarantined. RESULTS Among  1593 participants, the prevalence of anxiety and depression was approximately 8.3%  and 14.6%, respectively, and the prevalence in the affected group (12.9%, 22.4%) was  significantly higher than that in the unaffected group (6.7%, 11.9%). Lower average  household income, lower education level, having a higher self-evaluated level of  knowledge, being more worried about being infected, having no psychological support,  greater property damage, and lower self-perceived health condition were significant  associated with higher scores on the SAS and SDS. People living in Chongqing had  higher SAS and SDS scores than those living in Yunnan Province. CONCLUSIONS The  prevalence of anxiety and depression of the affected group are higher than in the  unaffected group during the COVID-19 outbreak in southwestern China in early Feb.  2020. The government should focus more on providing economic and medical support to  improve the general population's mental state.","container-title":"Medical science monitor : international medical journal of experimental and clinical  research","DOI":"10.12659/MSM.924609","ISSN":"1643-3750 1234-1010 1234-1010","journalAbbreviation":"Med Sci Monit","language":"eng","note":"PMID: 32335579 \nPMCID: PMC7199435","page":"e924609","title":"Comparison of Prevalence and Associated Factors of Anxiety and Depression Among  People Affected by versus People Unaffected by Quarantine During the COVID-19  Epidemic in Southwestern China.","volume":"26","author":[{"family":"Lei","given":"Lei"},{"family":"Huang","given":"Xiaoming"},{"family":"Zhang","given":"Shuai"},{"family":"Yang","given":"Jinrong"},{"family":"Yang","given":"Lin"},{"family":"Xu","given":"Min"}],"issued":{"date-parts":[["2020",4,26]]}}}],"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Lei (2020)</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refiere que el (TEPT) puede ser considerada como una emergencia de tipo catástrofe, o ataque terrorista donde se presenta este tipo de sintomatología, es cierto que no hemos sufrido una guerra o catástrofe natural o hechos de violencia, pero para la mente humana el encierro y falta de relación social produce la misma sintomatología relacionada con la ansiedad, depresión, alterando su entorno, mientras que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{"citationID":"7SR5dWKr","properties":{"formattedCitation":"(\\uc0\\u193{}lvarez, Leticia Garcia, 2020)","plainCitation":"(Álvarez, Leticia Garcia, 2020)","dontUpdate":true,"noteIndex":0},"citationItems":[{"id":"cPSG7McT/TZBPZp35","uris":["http://zotero.org/users/local/HWFDfxM3/items/HNVM8K79"],"uri":["http://zotero.org/users/local/HWFDfxM3/items/HNVM8K79"],"itemData":{"id":1810,"type":"article-journal","abstract":"La pandemia por coronavirus (COVID-19) registrada en los últimos meses ha causado una situación de emergencia a nivel mundial. Se estima que las reacciones de ansiedad, preocupación o\nmiedo sean frecuentes en la sociedad dado su carácter desconocido y novedoso junto con las medidas de distanciamiento social derivadas del estado de alarma. Sin embargo, todavía se desconoce el impacto psicológico que puede tener no solo el coronavirus per se, sino el confinamiento, ya que nos encontramos ante una situación excepcional sin precedentes.\nAlgunos estudios realizados sobre el impacto del síndrome respiratorio agudo grave (SARS, por sus siglas en inglés Severe Acute Respiratory Syndrome), el primer brote masivo de una enfermedad infecciosa en el siglo XXI, han mostrado un impacto significativo sobre la salud mental de las personas y su nivel de bienestar (Ko, Yen, Yen y Yang, 2006), incluso 4 años después de la epidemia (Lam et al., 2009). Se habla de “bio-desastres” capaces de generar un impacto psicológico comparable al de otras catástrofes como ataques terroristas, terremotos, etc. (Chong et al., 2004; Wu et al., 2008). En el caso de las personas expuestas al SARS se ha mostrado cómo el trastorno de estrés postraumático y los trastornos depresivos han sido las alteraciones psicológicas más prevalentes durante el seguimiento a largo plazo (Mak, Chu, Pan, Yiu y Chan, 2009). Sin embargo, durante el SARS tanto las medidas llevadas a cabo como el nivel de afectación global no fueron tan extremos como en esta ocasión con lo que sería de esperar que el impacto de esta pandemia por COVID-19 sea todavía mayor.\nDurante el brote de síndrome respiratorio de coronavi-rus de Oriente Medio (MERS-CoV, por sus siglas en inglés Middle East Respiratory Syndrome Coronavirus) acaecido en 2015 y que generó el confinamiento de casi 17.000 personas expuestas al mismo, se observó un mayor riesgo de síntomas de estrés postraumático en sanitarios que habían tratado a pacientes infectados (Lee, Kang, Cho, Kim y Park, 2018), así como síntomas de ansiedad (7,6%), ira (16,6%) y depresión (19,3%), incluso entre aquellos que sufrieron medidas de aislamiento sin haber desarrollado la enfermedad (Yoon, Kim, Ko y Lee, 2016), perdurando, enmuchos casos, durante los 4-6 meses posteriores al confinamiento (Jeong et al., 2016).\nEn los estudios publicados sobre el impacto psicológico del COVID-19 en China, se ha observado malestar emocional, estando las respuestas de ansiedad grave presentes en un tercio de la población general (Lima et al., 2020; Wang et al., 2020). Sin embargo, en un estudio llevado a cabo con una amplia muestra de población general española, se ha observado cómo durante las primeras semanas de confinamiento (del 19 al 26 de marzo) las respuestas emocionales desadaptativas observadas, de modo más frecuente, han sido los síntomas depresivos (46,7%), seguidos por un estilo evi-tativo de afrontamiento (44,3%). Además, en contra de lo esperado, las respuestas de ansiedad fueron las menos frecuentes, afectando al 6,1% de la población (García-Álvarez et al., 2020). Asimismo, los efectos psicológicos del confinamiento parecen incrementarse con el paso de días (García-Álvarez et al., 2020) y en ciertos grupos vulnerables de la población, tales como el personal sanitario (Bai et al., 2004; Maunder et al., 2003), personas con enfermedades somáticas previas o personas con un trastorno mental previo o actual, más concretamente, depresión, ansiedad o trastorno bipolar (García-Álvarez et al., 2020). De igual forma, aquellas personas con problemas por consumo de sustancias podrían ser colectivos en riesgo (Pfefferbaum y North, 2020).\nSe plantea cómo esta situación de emergencia en la sa-lud pública podría generar no sólo reacciones emocionales negativas, sino también la falta de cumplimiento con las directivas de la salud pública y la génesis de comportamientos poco saludables como el uso excesivo de sustancias  (Pfefferbaum y North, 2020). Entre las respuestas más frecuentes del confinamiento se ha planteado que podrían estar: estrés, depresión, irritabilidad, insomnio, miedo, confusión, enfado, frustración, aburrimiento o estigma, y además, existe una preocupación acerca de que esos síntomas puedan persistir tiempo después de ese período de cuarentena (Brooks et al., 2020). Además, también se ha señalado que tales medidas podrían tener un impacto notable sobre el incremento de riesgo suicida en la población (Reger, Stanley y Joiner, 2020).\nAnte un cambio tan radical en nuestro comportamiento y costumbres (distanciamiento social, teletrabajo, limitación en la realización de actividades deportivas y de ocio fuera de nuestras casas, etc.), no cabe sino la búsqueda de actividades alternativas. Se habla de la importancia de la expresión de emociones negativas, mantenerse el contacto con los familiares y amigos, realizar actividades de manera regular, actividades de ocio, etc. (Park y Park, 2020). Sin embargo, otras actividades como el consumo de alcohol, tabaco y otras sustancias podrían incrementarse no solo como una forma de distracción o estrategia de evitación conductual, sino también como consecuencia del estrés, ansiedad o los síntomas depresivos que se están experimentando.","collection-title":"ADICCIONES","container-title":"Abril, 2020","issue":"nº 2","language":"Español","page":"PÁGS. 85-89","title":"¿Se observarán cambios en el consumo de alcohol y  tabaco durante el confinamiento por COVID-19?","volume":"vol. 32, nº 2 · 2020","author":[{"literal":"Álvarez, Leticia Garcia"}],"issued":{"date-parts":[["2020"]]}}}],"schema":"https://github.com/citation-style-language/schema/raw/master/csl-citation.json"}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Álvarez (2020)</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también refiere que se lo podría considerase a la Covid-19 como un bio-desastre por las características psicológicas que presenta, la población en general altero y cambio sus rutinas, y la salud mental debe ser tomada en cuenta en los planes de salud,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{"citationID":"x9nFFhrk","properties":{"formattedCitation":"(Ahmad et\\uc0\\u160{}al., 2020)","plainCitation":"(Ahmad et al., 2020)","dontUpdate":true,"noteIndex":0},"citationItems":[{"id":"cPSG7McT/rxYpYh54","uris":["http://zotero.org/users/local/HWFDfxM3/items/UEVD3IG7"],"uri":["http://zotero.org/users/local/HWFDfxM3/items/UEVD3IG7"],"itemData":{"id":631,"type":"article-journal","abstract":"INTRODUCTION: Mental health conditions like depression and anxiety are on the rise,  but access to care remains a challenge. Immigrants and racialized communities  including Chinese Canadians experience high level of access barriers including  communication with clinicians. With the aim to facilitate mental health  communications, we tested an Interactive Computer-assisted Client Assessment Survey  (iCCAS) in Cantonese/Mandarin and English at a nurse practitioner-led primary care  clinic in Toronto. The iCCAS offers a touch-screen, pre-consultation survey with  questions on depression, anxiety, post-traumatic stress, alcohol abuse, and social  context. The program generates point-of-care reports for the clinician and patient.  METHODS: A pilot randomized controlled trial examined the intervention impact on  mental health discussion and symptom detection, compared with the usual care,  followed by clinicians' qualitative interviews. RESULTS: Fifty self-identified  Chinese adult patients participated (iCCAS = 26, Usual Care = 24), response rate  79.4%. Participant mean age was 44.8 years and 92% were immigrants. There was an  increase of 19% and 15% in the mental health discussion and detection of symptoms in  the iCCAS group compared with the usual care. More participants in the iCCAS group  were referred to a social worker or psychiatrist. Patients found the use of iCCAS  easy and clinicians identified its benefits for themselves (eg, early identification  and comfort) and patients (eg, self-awareness and anonymity) and proposed  practice-integration. DISCUSSION: The studied tool holds promise for enhancing  clinician-patient mental health communications in primary care settings for overseas  Chinese. Implications are discussed for in-person and virtual healthcare which could  also inform responses to mental health crisis related to COVID-19.","container-title":"Asia-Pacific psychiatry : official journal of the Pacific Rim College of  Psychiatrists","DOI":"10.1111/appy.12400","ISSN":"1758-5872 1758-5864","journalAbbreviation":"Asia Pac Psychiatry","language":"eng","note":"publisher-place: Australia\nPMID: 32608131","page":"e12400","title":"Interactive mental health assessments for Chinese Canadians: A pilot randomized  controlled trial in nurse practitioner-led primary care clinic.","author":[{"family":"Ahmad","given":"Farah"},{"family":"Wang","given":"Jamie"},{"family":"Wong","given":"Bonnie"},{"family":"Fung","given":"Wai Lun Alan"}],"issued":{"date-parts":[["2020",6,30]]}}}],"schema":"https://github.com/citation-style-language/schema/raw/master/csl-citation.json"}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Ahmad, (2020)</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indica que es necesario crear y fortalecer las redes de apoyo psicológico, capacitar a las personas en como sobrellevar el confinamiento, y el manejo del estrés postraumático mejorando las intervenciones de los psicólogos en la comunidad, mientras dure la pandemia, el grupo más afectado siempre va a ser los de primera línea en especial el grupo de atención directa, según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{"citationID":"1WQMdzBp","properties":{"formattedCitation":"(Chodkiewicz et\\uc0\\u160{}al., 2020)","plainCitation":"(Chodkiewicz et al., 2020)","dontUpdate":true,"noteIndex":0},"citationItems":[{"id":"cPSG7McT/Os0vPfh4","uris":["http://zotero.org/users/local/HWFDfxM3/items/74B5WABU"],"uri":["http://zotero.org/users/local/HWFDfxM3/items/74B5WABU"],"itemData":{"id":493,"type":"article-journal","abstract":"Physical health is not the only area affected by the outbreak of the SARS-CoV-2  virus pandemic. There are also other consequences that have globally affected many  millions at other levels, namely: Societal, political, economic, and cultural. This  study aims to survey alcohol drinking throughout the pandemic so as to investigate  those factors considered most relevant; i.e., sociodemographic and clinical. A  longitudinal study was designed. The first (or initial) stage was completed between  April 10-20 2020 on 443 subjects during the enforcement of the \"Lockdown\" in Poland.  The second stage will be due in June 2020. As well as an in-house questionnaire, the  study used: The Alcohol Use Disorder Identification Test (AUDIT), General Health  Questionnaire (GHQ-28), Perceived Stress Scale (PSS-10), and the Brief COPE  Inventory (Mini COPE). Alcohol was the most commonly used psychoactive substance  (73%) identified. More than 30% changed their drinking habits because of the  pandemic, with 16% actually drinking less, whilst 14% did so more. The former group  was significantly younger than the latter. Amongst the stress-related coping  strategies, it was found that current alcohol drinkers were significantly less able  to find anything positive about the pandemic situation (positive reframing) and were  mentally less able to cope. Those drinking more now were found to have been drinking  more intensively before the pandemic started.","container-title":"International journal of environmental research and public health","DOI":"10.3390/ijerph17134677","ISSN":"1660-4601 1661-7827 1660-4601","issue":"13","journalAbbreviation":"Int J Environ Res Public Health","language":"eng","note":"PMID: 32610613 \nPMCID: PMC7369979","title":"Alcohol Consumption Reported during the COVID-19 Pandemic: The Initial Stage.","volume":"17","author":[{"family":"Chodkiewicz","given":"Jan"},{"family":"Talarowska","given":"Monika"},{"family":"Miniszewska","given":"Joanna"},{"family":"Nawrocka","given":"Natalia"},{"family":"Bilinski","given":"Przemyslaw"}],"issued":{"date-parts":[["2020",6,29]]}}}],"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Chodkiewicz, (2020)</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es el personal de salud que está sobreexpuesto al sufrimiento, al dolor y están en constante estrés que puede llegar hasta el 60%. El grupo más vulnerable es de las mujeres, en especial las enfermeras, esto dio por estar diariamente trabajando con pacientes </w:t>
      </w:r>
      <w:proofErr w:type="spellStart"/>
      <w:r w:rsidRPr="000F63B2">
        <w:rPr>
          <w:rFonts w:ascii="Arial" w:hAnsi="Arial" w:cs="Arial"/>
          <w:bCs/>
          <w:sz w:val="24"/>
          <w:szCs w:val="24"/>
          <w:lang w:val="es-EC"/>
        </w:rPr>
        <w:t>Covid</w:t>
      </w:r>
      <w:proofErr w:type="spellEnd"/>
      <w:r w:rsidRPr="000F63B2">
        <w:rPr>
          <w:rFonts w:ascii="Arial" w:hAnsi="Arial" w:cs="Arial"/>
          <w:bCs/>
          <w:sz w:val="24"/>
          <w:szCs w:val="24"/>
          <w:lang w:val="es-EC"/>
        </w:rPr>
        <w:t xml:space="preserve"> positivos, y el riego de contagio permanente.</w:t>
      </w:r>
    </w:p>
    <w:p w14:paraId="4194D248" w14:textId="77777777" w:rsidR="0054283A" w:rsidRPr="000F63B2" w:rsidRDefault="00DE52EF" w:rsidP="0054283A">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Hans Selye introdujo y popularizó el concepto de estrés en 1936 como una idea científica médica, separando la sintomatología física de la psicológica con su teoría del síndrome de adaptación general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{"citationID":"fKBtqZnL","properties":{"formattedCitation":"({\\i{}Un s\\uc0\\u237{}ndrome producido por diversos agentes nocivos - Selye 10 (2)}, 2008)","plainCitation":"(Un síndrome producido por diversos agentes nocivos - Selye 10 (2), 2008)","noteIndex":0},"citationItems":[{"id":43,"uris":["http://zotero.org/users/local/tG2iY08P/items/VYUK3GVQ"],"uri":["http://zotero.org/users/local/tG2iY08P/items/VYUK3GVQ"],"itemData":{"id":43,"type":"webpage","title":"Un síndrome producido por diversos agentes nocivos - Selye 10 (2): 230 - J Neuropsychiatry Clin Neurosci","title-short":"Un síndrome producido por diversos agentes nocivos - Selye 10 (2)","URL":"https://web.archive.org/web/20080107091947/http://neuro.psychiatryonline.org/cgi/content/full/10/2/230a","accessed":{"date-parts":[["2021",5,11]]},"issued":{"date-parts":[["2008",1,7]]}}}],"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i/>
          <w:iCs/>
          <w:sz w:val="24"/>
          <w:szCs w:val="24"/>
          <w:lang w:val="es-EC"/>
        </w:rPr>
        <w:t xml:space="preserve">Selye </w:t>
      </w:r>
      <w:r w:rsidRPr="000F63B2">
        <w:rPr>
          <w:rFonts w:ascii="Arial" w:hAnsi="Arial" w:cs="Arial"/>
          <w:bCs/>
          <w:sz w:val="24"/>
          <w:szCs w:val="24"/>
          <w:lang w:val="es-EC"/>
        </w:rPr>
        <w:t>(2008)</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el estrés es una de las reacciones fisiológicas que preparan al organismo para la acción OMS, (1994), esto también refiere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{"citationID":"EEBATQZ7","properties":{"formattedCitation":"(Lazarus &amp; Folkman, 1984)","plainCitation":"(Lazarus &amp; Folkman, 1984)","noteIndex":0},"citationItems":[{"id":45,"uris":["http://zotero.org/users/local/tG2iY08P/items/IEY8NV6F"],"uri":["http://zotero.org/users/local/tG2iY08P/items/IEY8NV6F"],"itemData":{"id":45,"type":"book","abstract":"Libro habla del estres y formas de manejarlo","collection-title":"Psicologia Martines Roca","event-place":"Barcelona España","ISBN":"84-270-1013-3","language":"Español","number-of-pages":"468","publisher":"Martinez Roca","publisher-place":"Barcelona España","title":"Estres y procesos cognitivos","author":[{"literal":"Lazarus"},{"literal":"Folkman"}],"issued":{"date-parts":[["1984"]]}}}],"schema":"https://github.com/citation-style-language/schema/raw/master/csl-citation.json"}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Lazarus y Folkman, (1984)</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Considerado esto, el estrés sería un estímulo que permite accionar a una persona que necesita sobrevivir y responder de manera coherente a su entorno. Pero en el caso de esta emergencia sanitaria mundial sobrepasan los niveles de afrontamiento, al estar frente a una sobrecarga de tensión que de hecho repercute en el organismo provocando enfermedades físicas como mentales que impiden el normal desarrollo y funcionamiento de la persona,  el estrés normal o rutinario  se controla por medio de actividad física, factores de protección como la familia, reuniones sociales, la danza, la música, los cuales, ayudan a liberar descargar la tensión, las enfermedades somatizadas  a partir del estrés pueden ser desde una simple gripe o resfrió una gastritis, inflamaciones en garganta, bronquios, cefaleas, dolor de cabeza, y problemas de insomnio, estos se presentan al no existir la resiliencia necesaria para afrontar las tensiones externas. La percepción de riesgo </w:t>
      </w:r>
      <w:proofErr w:type="gramStart"/>
      <w:r w:rsidRPr="000F63B2">
        <w:rPr>
          <w:rFonts w:ascii="Arial" w:hAnsi="Arial" w:cs="Arial"/>
          <w:bCs/>
          <w:sz w:val="24"/>
          <w:szCs w:val="24"/>
          <w:lang w:val="es-EC"/>
        </w:rPr>
        <w:t>en relación a</w:t>
      </w:r>
      <w:proofErr w:type="gramEnd"/>
      <w:r w:rsidRPr="000F63B2">
        <w:rPr>
          <w:rFonts w:ascii="Arial" w:hAnsi="Arial" w:cs="Arial"/>
          <w:bCs/>
          <w:sz w:val="24"/>
          <w:szCs w:val="24"/>
          <w:lang w:val="es-EC"/>
        </w:rPr>
        <w:t xml:space="preserve"> la enfermedad produce respuestas exageradas con una cimentación de patologías relacionas al miedo, y angustias propias del estrés post traumático, para el tratamiento es necesario el uso de medicación y psicoterapia siendo la terapia cognitiva conductual la que ayuda en afrontamiento de problemas, mientras que las técnicas de relajación pueden apoyar</w:t>
      </w:r>
      <w:r w:rsidR="0054283A" w:rsidRPr="000F63B2">
        <w:rPr>
          <w:rFonts w:ascii="Arial" w:hAnsi="Arial" w:cs="Arial"/>
          <w:bCs/>
          <w:sz w:val="24"/>
          <w:szCs w:val="24"/>
          <w:lang w:val="es-EC"/>
        </w:rPr>
        <w:t xml:space="preserve"> </w:t>
      </w:r>
      <w:r w:rsidRPr="000F63B2">
        <w:rPr>
          <w:rFonts w:ascii="Arial" w:hAnsi="Arial" w:cs="Arial"/>
          <w:bCs/>
          <w:sz w:val="24"/>
          <w:szCs w:val="24"/>
          <w:lang w:val="es-EC"/>
        </w:rPr>
        <w:t xml:space="preserve">a la recuperación. </w:t>
      </w:r>
    </w:p>
    <w:p w14:paraId="6DE2AA44" w14:textId="77777777" w:rsidR="0054283A" w:rsidRPr="000F63B2" w:rsidRDefault="00DE52EF" w:rsidP="0054283A">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En relación con el consumo de alcohol en el Ecuador ha existido desde tiempos remotos, ha constituido en cierta medida uno de los principales medios dinamizadores de la interrelación social y particularmente religiosa. Es decir, el alcohol ha acompañado al ser humano a lo largo de su vida, imponiéndose como un </w:t>
      </w:r>
      <w:r w:rsidRPr="000F63B2">
        <w:rPr>
          <w:rFonts w:ascii="Arial" w:hAnsi="Arial" w:cs="Arial"/>
          <w:bCs/>
          <w:sz w:val="24"/>
          <w:szCs w:val="24"/>
          <w:lang w:val="es-EC"/>
        </w:rPr>
        <w:lastRenderedPageBreak/>
        <w:t>elemento identitario o cultural. De ahí que, las personas han aprendido a vivir en medio de una sociedad con altos consumos de alcohol, lo cual, emerge como una problemática con graves consecuencias, a pesar de su amplia aceptación social. Más allá de la costumbre de consumir bebidas alcohólicas, son varias las razones por las que un individuo recurre a tal situación, entre otras, se pueden mencionar problemas familiares, económicos, sociales y psicológicos.</w:t>
      </w:r>
    </w:p>
    <w:p w14:paraId="3591FA2E" w14:textId="6C0744AE" w:rsidR="00DE52EF" w:rsidRPr="000F63B2" w:rsidRDefault="00DE52EF" w:rsidP="0054283A">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El alcoholismo es una enfermedad de salud pública muy peligrosa con altos porcentajes de muerte, costos económicos que afectan a la familia, la sociedad y al Estado, las muertes por alcohol en el mundo superan los 3.000.000 de personas al año, en especial hombres. (OMS) 2016.   </w:t>
      </w:r>
    </w:p>
    <w:p w14:paraId="3C379592" w14:textId="77777777" w:rsidR="00DE52EF" w:rsidRPr="000F63B2" w:rsidRDefault="00DE52EF" w:rsidP="0054283A">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Según la Organización Mundial de la Salud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{"citationID":"6iD4cPaO","properties":{"formattedCitation":"({\\i{}El consumo nocivo de alcohol mata a m\\uc0\\u225{}s de 3 millones de personas al a\\uc0\\u241{}o, en su mayor\\uc0\\u237{}a hombres}, s.\\uc0\\u160{}f.)","plainCitation":"(El consumo nocivo de alcohol mata a más de 3 millones de personas al año, en su mayoría hombres, s. f.)","dontUpdate":true,"noteIndex":0},"citationItems":[{"id":"cPSG7McT/BfGO1zoD","uris":["http://zotero.org/users/local/JNgvcoZp/items/2W2MF2JJ"],"uri":["http://zotero.org/users/local/JNgvcoZp/items/2W2MF2JJ"],"itemData":{"id":752,"type":"webpage","abstract":"Según un informe publicado hoy por la Organización Mundial de la Salud (OMS), en 2016 murieron más de 3 millones de personas a consecuencia del consumo nocivo de alcohol, lo que representa 1 de cada 20 muertes. Más de las tres cuartas partes de esas muertes correspondieron a hombres. En general, el consumo nocivo de alcohol causa más del 5% de la carga mundial de morbilidad.","language":"es","title":"El consumo nocivo de alcohol mata a más de 3 millones de personas al año, en su mayoría hombres","URL":"https://www.who.int/es/news/item/21-09-2018-harmful-use-of-alcohol-kills-more-than-3-million-people-each-year--most-of-them-men","accessed":{"date-parts":[["2020",12,6]]}}}],"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iCs/>
          <w:sz w:val="24"/>
          <w:szCs w:val="24"/>
          <w:lang w:val="es-EC"/>
        </w:rPr>
        <w:t>OMS</w:t>
      </w:r>
      <w:r w:rsidRPr="000F63B2">
        <w:rPr>
          <w:rFonts w:ascii="Arial" w:hAnsi="Arial" w:cs="Arial"/>
          <w:bCs/>
          <w:sz w:val="24"/>
          <w:szCs w:val="24"/>
          <w:lang w:val="es-EC"/>
        </w:rPr>
        <w:t xml:space="preserve"> (2018)</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en todo el mundo el alcohol fue la causa de 7,2% de muertes prematuras en las personas de 69 años y menores, y el 13,5% de las muertes entre los 20 y 39 años se estima que 1.000.000 de muertes fueron atribuibles al alcohol, 370 mil por el tránsito de los cuales el 50%  fueron acompañantes , 150 mil, por autoagresión y  90 mil por violencia interpersonal, del 2008 hasta al 2018, se ha tratado de imponer a los países el manejo, tratamiento y disminución del consumo de alcohol, por medio de políticas nacionales en las se firmaron acuerdos entre naciones para la prevención y reducción del consumo de alcohol que produce consecuencias para la salud o el ámbito social denominado consumo nocivo, mientras que la página de medición de estadísticas mundial worldometers.info  refiere que hasta diciembre del 2020 indica que el alcohol en todo el mundo causa 1,8 millones de muertes en el año, (3,2% del total) y 58,3 millones (4% del total) de Años de Vida Ajustados por Discapacidad  (AVAD).  Las lesiones no intencionales por sí solas representan alrededor de un tercio de los 1,8 millones de muertes, mientras que las afecciones neuropsiquiátricas representan cerca del 40% de los 58,3 millones de Años de Vida Ajustados por Discapacidad. El consumo de alcohol está asociado con varias enfermedades digestivas, cardiacas, cáncer y afecta al sistema inmunológico disminuyendo, lo que se relaciona directamente con el riesgo de contagio de la COVID-19. </w:t>
      </w:r>
    </w:p>
    <w:p w14:paraId="16686238" w14:textId="77777777" w:rsidR="0054283A" w:rsidRPr="000F63B2" w:rsidRDefault="00DE52EF" w:rsidP="0054283A">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La Covid-19 fue identificada</w:t>
      </w:r>
      <w:r w:rsidRPr="000F63B2">
        <w:rPr>
          <w:rFonts w:ascii="Arial" w:hAnsi="Arial" w:cs="Arial"/>
          <w:bCs/>
          <w:sz w:val="24"/>
          <w:szCs w:val="24"/>
          <w:u w:val="single"/>
          <w:lang w:val="es-EC"/>
        </w:rPr>
        <w:t xml:space="preserve"> </w:t>
      </w:r>
      <w:r w:rsidRPr="000F63B2">
        <w:rPr>
          <w:rFonts w:ascii="Arial" w:hAnsi="Arial" w:cs="Arial"/>
          <w:bCs/>
          <w:sz w:val="24"/>
          <w:szCs w:val="24"/>
          <w:lang w:val="es-EC"/>
        </w:rPr>
        <w:t>el 31 de diciembre de 2019, en China, avanzando rápidamente en el mundo llegando al el 19 de febrero del 2020 a ser considerada una pandemia 2020 se exhorta a todos los países a que deben estar preparados para la contención, incluida la vigilancia activa, esta enfermedad ha producido en el mundo 135,309,534 millones de contagios, 2,928,739 millones de fallecimientos, 108,867,931millones de recuperados hasta 9 de abril 2021, además la OMS sugiere la detección temprana, el aislamiento y el manejo de casos, el rastreo de contactos, la prevención de la propagación de la infección y manejo de problemas de salud mental en la comunidad por medio de la capacitación comunitaria en Primeros Auxilios Psicológicos (PAS).</w:t>
      </w:r>
    </w:p>
    <w:p w14:paraId="01BFA89D" w14:textId="0B512D20" w:rsidR="0054283A" w:rsidRDefault="00DE52EF" w:rsidP="0054283A">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La OMS y el Centro de Control de Enfermedades (CDC), refieren a su vez que son más susceptibles a contagiarse, al igual que las personas tercera edad, hipertensión, enfermedades cardiovasculares, diabetes tipo 2, pulmón crónico, Enfermedad Pulmonar Obstructiva Crónica (EPOC) y enfisema. El Ministerios de Salud Pública del Ecuador (MSP) informa que 86% de las personas vulnerables fallecen por la COVID-19. Actualizando la información según la página</w:t>
      </w:r>
      <w:r w:rsidRPr="000F63B2">
        <w:rPr>
          <w:rFonts w:ascii="Arial" w:hAnsi="Arial" w:cs="Arial"/>
          <w:bCs/>
          <w:sz w:val="24"/>
          <w:szCs w:val="24"/>
          <w:u w:val="single"/>
          <w:lang w:val="es-EC"/>
        </w:rPr>
        <w:t xml:space="preserve"> </w:t>
      </w:r>
      <w:r w:rsidRPr="000F63B2">
        <w:rPr>
          <w:rFonts w:ascii="Arial" w:hAnsi="Arial" w:cs="Arial"/>
          <w:bCs/>
          <w:sz w:val="24"/>
          <w:szCs w:val="24"/>
          <w:lang w:val="es-EC"/>
        </w:rPr>
        <w:t>worldometers.info desde 1 enero a 3 marzo 2021 la cantidad de muertes por alcohol llega a 472300 personas.</w:t>
      </w:r>
    </w:p>
    <w:p w14:paraId="443CEA9C" w14:textId="1D53E458" w:rsidR="00582810" w:rsidRDefault="00582810" w:rsidP="0054283A">
      <w:pPr>
        <w:spacing w:after="0" w:line="240" w:lineRule="auto"/>
        <w:ind w:firstLine="426"/>
        <w:jc w:val="both"/>
        <w:rPr>
          <w:rFonts w:ascii="Arial" w:hAnsi="Arial" w:cs="Arial"/>
          <w:bCs/>
          <w:sz w:val="24"/>
          <w:szCs w:val="24"/>
          <w:lang w:val="es-EC"/>
        </w:rPr>
      </w:pPr>
    </w:p>
    <w:p w14:paraId="366BD57E" w14:textId="61EA0E39" w:rsidR="00D96864" w:rsidRDefault="00D96864" w:rsidP="0054283A">
      <w:pPr>
        <w:spacing w:after="0" w:line="240" w:lineRule="auto"/>
        <w:ind w:firstLine="426"/>
        <w:jc w:val="both"/>
        <w:rPr>
          <w:rFonts w:ascii="Arial" w:hAnsi="Arial" w:cs="Arial"/>
          <w:bCs/>
          <w:sz w:val="24"/>
          <w:szCs w:val="24"/>
          <w:lang w:val="es-EC"/>
        </w:rPr>
      </w:pPr>
    </w:p>
    <w:p w14:paraId="6B309D89" w14:textId="77777777" w:rsidR="00D96864" w:rsidRDefault="00D96864" w:rsidP="0054283A">
      <w:pPr>
        <w:spacing w:after="0" w:line="240" w:lineRule="auto"/>
        <w:ind w:firstLine="426"/>
        <w:jc w:val="both"/>
        <w:rPr>
          <w:rFonts w:ascii="Arial" w:hAnsi="Arial" w:cs="Arial"/>
          <w:bCs/>
          <w:sz w:val="24"/>
          <w:szCs w:val="24"/>
          <w:lang w:val="es-EC"/>
        </w:rPr>
      </w:pPr>
    </w:p>
    <w:p w14:paraId="4A425CA5" w14:textId="491EF08C" w:rsidR="0054283A" w:rsidRDefault="00DE52EF" w:rsidP="0054283A">
      <w:pPr>
        <w:spacing w:after="0" w:line="240" w:lineRule="auto"/>
        <w:jc w:val="both"/>
        <w:rPr>
          <w:rFonts w:ascii="Arial" w:hAnsi="Arial" w:cs="Arial"/>
          <w:b/>
          <w:bCs/>
          <w:sz w:val="24"/>
          <w:szCs w:val="24"/>
          <w:lang w:val="es-EC"/>
        </w:rPr>
      </w:pPr>
      <w:r w:rsidRPr="000F63B2">
        <w:rPr>
          <w:rFonts w:ascii="Arial" w:hAnsi="Arial" w:cs="Arial"/>
          <w:b/>
          <w:bCs/>
          <w:sz w:val="24"/>
          <w:szCs w:val="24"/>
          <w:lang w:val="es-EC"/>
        </w:rPr>
        <w:t>METODOLOGÍA</w:t>
      </w:r>
    </w:p>
    <w:p w14:paraId="42FF1136" w14:textId="77777777" w:rsidR="00582810" w:rsidRPr="000F63B2" w:rsidRDefault="00582810" w:rsidP="0054283A">
      <w:pPr>
        <w:spacing w:after="0" w:line="240" w:lineRule="auto"/>
        <w:jc w:val="both"/>
        <w:rPr>
          <w:rFonts w:ascii="Arial" w:hAnsi="Arial" w:cs="Arial"/>
          <w:bCs/>
          <w:sz w:val="24"/>
          <w:szCs w:val="24"/>
          <w:lang w:val="es-EC"/>
        </w:rPr>
      </w:pPr>
    </w:p>
    <w:p w14:paraId="4FE5F674" w14:textId="6EE900FA" w:rsidR="00DE52EF" w:rsidRPr="000F63B2" w:rsidRDefault="00DE52EF" w:rsidP="0054283A">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Este estudio es de diseño documental, exploratorio en el marco de una investigación cualitativa en la que, se valoró los criterios de convergencia metodológica indagados y emergentes, producto del análisis de los datos teóricos presentados por diversos investigadores.</w:t>
      </w:r>
    </w:p>
    <w:p w14:paraId="442C9AF4" w14:textId="552E43EE" w:rsidR="00DE52EF" w:rsidRPr="000F63B2" w:rsidRDefault="00DE52EF" w:rsidP="0054283A">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Se analizó total de 36 artículos, partiendo de una primera revisión en la que encuentra 607 artículos sobre alcohol y la COVID-19 en una segunda búsqueda se encuentra 233 artículos sobre cuarentena y la COVID-19 y una búsqueda final se encuentran 53 artículos, de los cuales como se indicó anteriormente se escogió 36 artículos, de los mismos que se obtuvo datos cualitativos y de 12 artículos datos cuantitativos que versan sobre estrés y el consumo de alcohol, en confinamiento. Estos trabajos fueron publicados en el año 2020, entre los meses abril y octubre.   </w:t>
      </w:r>
    </w:p>
    <w:p w14:paraId="7E41622C" w14:textId="77777777" w:rsidR="00DE52EF" w:rsidRPr="000F63B2" w:rsidRDefault="00DE52EF" w:rsidP="0054283A">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Además, es importante recalcar que las investigaciones fueron realizadas en condiciones diferentes por las prohibiciones vigentes en cada región del mundo a causa de la pandemia como son las aglomeraciones y actividades sociales o laborales que les obligó a todos los investigadores que se aplique encuestas online, que de hecho excluye a un grupo de la población que no cuenta con servicio de internet y herramientas tecnológicas. </w:t>
      </w:r>
    </w:p>
    <w:p w14:paraId="0C55FA98" w14:textId="2ACA9477" w:rsidR="005271E4" w:rsidRPr="000F63B2" w:rsidRDefault="005271E4" w:rsidP="005271E4">
      <w:pPr>
        <w:spacing w:after="0" w:line="240" w:lineRule="auto"/>
        <w:jc w:val="both"/>
        <w:rPr>
          <w:rFonts w:ascii="Arial" w:hAnsi="Arial" w:cs="Arial"/>
          <w:bCs/>
          <w:sz w:val="24"/>
          <w:szCs w:val="24"/>
          <w:lang w:val="es-EC"/>
        </w:rPr>
      </w:pPr>
    </w:p>
    <w:p w14:paraId="700F7A93" w14:textId="6AF0E08B"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
          <w:bCs/>
          <w:sz w:val="24"/>
          <w:szCs w:val="24"/>
          <w:lang w:val="es-EC"/>
        </w:rPr>
        <w:t>RESULTADOS</w:t>
      </w:r>
      <w:r w:rsidRPr="000F63B2">
        <w:rPr>
          <w:rFonts w:ascii="Arial" w:hAnsi="Arial" w:cs="Arial"/>
          <w:bCs/>
          <w:sz w:val="24"/>
          <w:szCs w:val="24"/>
          <w:lang w:val="es-EC"/>
        </w:rPr>
        <w:t xml:space="preserve"> </w:t>
      </w:r>
    </w:p>
    <w:p w14:paraId="35E32198" w14:textId="77777777" w:rsidR="0054283A" w:rsidRPr="000F63B2" w:rsidRDefault="0054283A" w:rsidP="00DE52EF">
      <w:pPr>
        <w:spacing w:after="0" w:line="240" w:lineRule="auto"/>
        <w:jc w:val="both"/>
        <w:rPr>
          <w:rFonts w:ascii="Arial" w:hAnsi="Arial" w:cs="Arial"/>
          <w:bCs/>
          <w:sz w:val="24"/>
          <w:szCs w:val="24"/>
          <w:lang w:val="es-EC"/>
        </w:rPr>
      </w:pPr>
    </w:p>
    <w:p w14:paraId="1CDE4814"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 xml:space="preserve">       Al revisar los datos sobre la presencia de estrés en la población objeto de estudio, aprecia que 3 de cada 10 sujetos manifiestan tener estrés, como se observa en la tabla 1. Estos datos resultaron de la investigación de varios autores.</w:t>
      </w:r>
    </w:p>
    <w:p w14:paraId="167FD640" w14:textId="77777777" w:rsidR="00DE52EF" w:rsidRPr="000F63B2" w:rsidRDefault="00DE52EF" w:rsidP="00DE52EF">
      <w:pPr>
        <w:spacing w:after="0" w:line="240" w:lineRule="auto"/>
        <w:jc w:val="both"/>
        <w:rPr>
          <w:rFonts w:ascii="Arial" w:hAnsi="Arial" w:cs="Arial"/>
          <w:bCs/>
          <w:i/>
          <w:iCs/>
          <w:sz w:val="24"/>
          <w:szCs w:val="24"/>
          <w:lang w:val="es-EC"/>
        </w:rPr>
      </w:pPr>
    </w:p>
    <w:p w14:paraId="414B0474" w14:textId="640888FB" w:rsidR="00DE52EF" w:rsidRPr="000F63B2" w:rsidRDefault="00DE52EF" w:rsidP="00BD6A65">
      <w:pPr>
        <w:spacing w:after="0" w:line="240" w:lineRule="auto"/>
        <w:jc w:val="center"/>
        <w:rPr>
          <w:rFonts w:ascii="Arial" w:hAnsi="Arial" w:cs="Arial"/>
          <w:b/>
          <w:i/>
          <w:iCs/>
          <w:lang w:val="es-EC"/>
        </w:rPr>
      </w:pPr>
      <w:r w:rsidRPr="000F63B2">
        <w:rPr>
          <w:rFonts w:ascii="Arial" w:hAnsi="Arial" w:cs="Arial"/>
          <w:b/>
          <w:i/>
          <w:iCs/>
          <w:lang w:val="es-EC"/>
        </w:rPr>
        <w:t>Tabla 1</w:t>
      </w:r>
      <w:r w:rsidR="00BD6A65" w:rsidRPr="000F63B2">
        <w:rPr>
          <w:rFonts w:ascii="Arial" w:hAnsi="Arial" w:cs="Arial"/>
          <w:b/>
          <w:i/>
          <w:iCs/>
          <w:lang w:val="es-EC"/>
        </w:rPr>
        <w:t>:</w:t>
      </w:r>
    </w:p>
    <w:p w14:paraId="75F6C09C" w14:textId="32C5AEDC" w:rsidR="00DE52EF" w:rsidRPr="000F63B2" w:rsidRDefault="00DE52EF" w:rsidP="00BD6A65">
      <w:pPr>
        <w:spacing w:after="0" w:line="240" w:lineRule="auto"/>
        <w:jc w:val="center"/>
        <w:rPr>
          <w:rFonts w:ascii="Arial" w:hAnsi="Arial" w:cs="Arial"/>
          <w:bCs/>
          <w:i/>
          <w:iCs/>
          <w:lang w:val="es-EC"/>
        </w:rPr>
      </w:pPr>
      <w:r w:rsidRPr="000F63B2">
        <w:rPr>
          <w:rFonts w:ascii="Arial" w:hAnsi="Arial" w:cs="Arial"/>
          <w:bCs/>
          <w:i/>
          <w:iCs/>
          <w:lang w:val="es-EC"/>
        </w:rPr>
        <w:t>Presencia de estrés</w:t>
      </w:r>
    </w:p>
    <w:tbl>
      <w:tblPr>
        <w:tblStyle w:val="Tablaconcuadrcula"/>
        <w:tblW w:w="9120"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0"/>
        <w:gridCol w:w="3040"/>
        <w:gridCol w:w="3040"/>
      </w:tblGrid>
      <w:tr w:rsidR="00DE52EF" w:rsidRPr="000F63B2" w14:paraId="73E2BB88" w14:textId="77777777" w:rsidTr="00F67674">
        <w:trPr>
          <w:trHeight w:val="347"/>
          <w:jc w:val="center"/>
        </w:trPr>
        <w:tc>
          <w:tcPr>
            <w:tcW w:w="3040" w:type="dxa"/>
            <w:tcBorders>
              <w:top w:val="single" w:sz="4" w:space="0" w:color="auto"/>
              <w:bottom w:val="single" w:sz="4" w:space="0" w:color="auto"/>
            </w:tcBorders>
          </w:tcPr>
          <w:p w14:paraId="16482526" w14:textId="77777777" w:rsidR="00DE52EF" w:rsidRPr="000F63B2" w:rsidRDefault="00DE52EF" w:rsidP="00DE52EF">
            <w:pPr>
              <w:jc w:val="both"/>
              <w:rPr>
                <w:rFonts w:ascii="Arial" w:hAnsi="Arial" w:cs="Arial"/>
                <w:bCs/>
                <w:sz w:val="24"/>
                <w:szCs w:val="24"/>
              </w:rPr>
            </w:pPr>
          </w:p>
        </w:tc>
        <w:tc>
          <w:tcPr>
            <w:tcW w:w="3040" w:type="dxa"/>
            <w:tcBorders>
              <w:top w:val="single" w:sz="4" w:space="0" w:color="auto"/>
              <w:bottom w:val="single" w:sz="4" w:space="0" w:color="auto"/>
            </w:tcBorders>
          </w:tcPr>
          <w:p w14:paraId="68C5DBAC"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N= 21935</w:t>
            </w:r>
          </w:p>
        </w:tc>
        <w:tc>
          <w:tcPr>
            <w:tcW w:w="3040" w:type="dxa"/>
            <w:tcBorders>
              <w:top w:val="single" w:sz="4" w:space="0" w:color="auto"/>
              <w:bottom w:val="single" w:sz="4" w:space="0" w:color="auto"/>
            </w:tcBorders>
          </w:tcPr>
          <w:p w14:paraId="09895085"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w:t>
            </w:r>
          </w:p>
        </w:tc>
      </w:tr>
      <w:tr w:rsidR="00DE52EF" w:rsidRPr="000F63B2" w14:paraId="767D8065" w14:textId="77777777" w:rsidTr="00F67674">
        <w:trPr>
          <w:trHeight w:val="337"/>
          <w:jc w:val="center"/>
        </w:trPr>
        <w:tc>
          <w:tcPr>
            <w:tcW w:w="3040" w:type="dxa"/>
            <w:tcBorders>
              <w:top w:val="single" w:sz="4" w:space="0" w:color="auto"/>
            </w:tcBorders>
          </w:tcPr>
          <w:p w14:paraId="5C41399B" w14:textId="77777777" w:rsidR="00DE52EF" w:rsidRPr="000F63B2" w:rsidRDefault="00DE52EF" w:rsidP="00DE52EF">
            <w:pPr>
              <w:jc w:val="both"/>
              <w:rPr>
                <w:rFonts w:ascii="Arial" w:hAnsi="Arial" w:cs="Arial"/>
                <w:bCs/>
                <w:sz w:val="24"/>
                <w:szCs w:val="24"/>
              </w:rPr>
            </w:pPr>
          </w:p>
        </w:tc>
        <w:tc>
          <w:tcPr>
            <w:tcW w:w="3040" w:type="dxa"/>
            <w:tcBorders>
              <w:top w:val="single" w:sz="4" w:space="0" w:color="auto"/>
            </w:tcBorders>
          </w:tcPr>
          <w:p w14:paraId="4D4BCA0C"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¨Presencia de estrés</w:t>
            </w:r>
          </w:p>
        </w:tc>
        <w:tc>
          <w:tcPr>
            <w:tcW w:w="3040" w:type="dxa"/>
            <w:tcBorders>
              <w:top w:val="single" w:sz="4" w:space="0" w:color="auto"/>
            </w:tcBorders>
          </w:tcPr>
          <w:p w14:paraId="6F9306EC" w14:textId="77777777" w:rsidR="00DE52EF" w:rsidRPr="000F63B2" w:rsidRDefault="00DE52EF" w:rsidP="00DE52EF">
            <w:pPr>
              <w:jc w:val="both"/>
              <w:rPr>
                <w:rFonts w:ascii="Arial" w:hAnsi="Arial" w:cs="Arial"/>
                <w:bCs/>
                <w:sz w:val="24"/>
                <w:szCs w:val="24"/>
              </w:rPr>
            </w:pPr>
          </w:p>
        </w:tc>
      </w:tr>
      <w:tr w:rsidR="00DE52EF" w:rsidRPr="000F63B2" w14:paraId="4AF248E7" w14:textId="77777777" w:rsidTr="00F67674">
        <w:trPr>
          <w:trHeight w:val="347"/>
          <w:jc w:val="center"/>
        </w:trPr>
        <w:tc>
          <w:tcPr>
            <w:tcW w:w="3040" w:type="dxa"/>
          </w:tcPr>
          <w:p w14:paraId="47B39BDA"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Si</w:t>
            </w:r>
          </w:p>
        </w:tc>
        <w:tc>
          <w:tcPr>
            <w:tcW w:w="3040" w:type="dxa"/>
          </w:tcPr>
          <w:p w14:paraId="506EC918"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7352</w:t>
            </w:r>
          </w:p>
        </w:tc>
        <w:tc>
          <w:tcPr>
            <w:tcW w:w="3040" w:type="dxa"/>
          </w:tcPr>
          <w:p w14:paraId="452581D3"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33,52</w:t>
            </w:r>
          </w:p>
        </w:tc>
      </w:tr>
      <w:tr w:rsidR="00DE52EF" w:rsidRPr="000F63B2" w14:paraId="35C47693" w14:textId="77777777" w:rsidTr="00F67674">
        <w:trPr>
          <w:trHeight w:val="347"/>
          <w:jc w:val="center"/>
        </w:trPr>
        <w:tc>
          <w:tcPr>
            <w:tcW w:w="3040" w:type="dxa"/>
          </w:tcPr>
          <w:p w14:paraId="4BE3AA2C"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No</w:t>
            </w:r>
          </w:p>
        </w:tc>
        <w:tc>
          <w:tcPr>
            <w:tcW w:w="3040" w:type="dxa"/>
          </w:tcPr>
          <w:p w14:paraId="7804352B"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14583</w:t>
            </w:r>
          </w:p>
        </w:tc>
        <w:tc>
          <w:tcPr>
            <w:tcW w:w="3040" w:type="dxa"/>
          </w:tcPr>
          <w:p w14:paraId="5478B4FF"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66,48</w:t>
            </w:r>
          </w:p>
        </w:tc>
      </w:tr>
    </w:tbl>
    <w:p w14:paraId="4D05BA5F" w14:textId="77777777" w:rsidR="00DE52EF" w:rsidRPr="000F63B2" w:rsidRDefault="00DE52EF" w:rsidP="00DE52EF">
      <w:pPr>
        <w:spacing w:after="0" w:line="240" w:lineRule="auto"/>
        <w:jc w:val="both"/>
        <w:rPr>
          <w:rFonts w:ascii="Arial" w:hAnsi="Arial" w:cs="Arial"/>
          <w:bCs/>
          <w:i/>
          <w:iCs/>
          <w:lang w:val="es-EC"/>
        </w:rPr>
      </w:pPr>
      <w:r w:rsidRPr="000F63B2">
        <w:rPr>
          <w:rFonts w:ascii="Arial" w:hAnsi="Arial" w:cs="Arial"/>
          <w:bCs/>
          <w:i/>
          <w:iCs/>
          <w:lang w:val="es-EC"/>
        </w:rPr>
        <w:t xml:space="preserve">Nota: Este cuadro es la sumatoria de varios autores: </w:t>
      </w:r>
      <w:proofErr w:type="spellStart"/>
      <w:r w:rsidRPr="000F63B2">
        <w:rPr>
          <w:rFonts w:ascii="Arial" w:hAnsi="Arial" w:cs="Arial"/>
          <w:bCs/>
          <w:i/>
          <w:iCs/>
          <w:lang w:val="es-EC"/>
        </w:rPr>
        <w:t>Newby</w:t>
      </w:r>
      <w:proofErr w:type="spellEnd"/>
      <w:r w:rsidRPr="000F63B2">
        <w:rPr>
          <w:rFonts w:ascii="Arial" w:hAnsi="Arial" w:cs="Arial"/>
          <w:bCs/>
          <w:i/>
          <w:iCs/>
          <w:lang w:val="es-EC"/>
        </w:rPr>
        <w:t xml:space="preserve">, </w:t>
      </w:r>
      <w:proofErr w:type="spellStart"/>
      <w:r w:rsidRPr="000F63B2">
        <w:rPr>
          <w:rFonts w:ascii="Arial" w:hAnsi="Arial" w:cs="Arial"/>
          <w:bCs/>
          <w:i/>
          <w:iCs/>
          <w:lang w:val="es-EC"/>
        </w:rPr>
        <w:t>Chodkiewicz</w:t>
      </w:r>
      <w:proofErr w:type="spellEnd"/>
      <w:r w:rsidRPr="000F63B2">
        <w:rPr>
          <w:rFonts w:ascii="Arial" w:hAnsi="Arial" w:cs="Arial"/>
          <w:bCs/>
          <w:i/>
          <w:iCs/>
          <w:lang w:val="es-EC"/>
        </w:rPr>
        <w:t xml:space="preserve">, Neil, Lee, </w:t>
      </w:r>
      <w:proofErr w:type="spellStart"/>
      <w:r w:rsidRPr="000F63B2">
        <w:rPr>
          <w:rFonts w:ascii="Arial" w:hAnsi="Arial" w:cs="Arial"/>
          <w:bCs/>
          <w:i/>
          <w:iCs/>
          <w:lang w:val="es-EC"/>
        </w:rPr>
        <w:t>Staton</w:t>
      </w:r>
      <w:proofErr w:type="spellEnd"/>
      <w:r w:rsidRPr="000F63B2">
        <w:rPr>
          <w:rFonts w:ascii="Arial" w:hAnsi="Arial" w:cs="Arial"/>
          <w:bCs/>
          <w:i/>
          <w:iCs/>
          <w:lang w:val="es-EC"/>
        </w:rPr>
        <w:t xml:space="preserve">, Sidor, Walker, Rodríguez, Rolland, marzo a mayo, 2020    </w:t>
      </w:r>
    </w:p>
    <w:p w14:paraId="6FCBA799" w14:textId="77777777" w:rsidR="00DE52EF" w:rsidRPr="000F63B2" w:rsidRDefault="00DE52EF" w:rsidP="00DE52EF">
      <w:pPr>
        <w:spacing w:after="0" w:line="240" w:lineRule="auto"/>
        <w:jc w:val="both"/>
        <w:rPr>
          <w:rFonts w:ascii="Arial" w:hAnsi="Arial" w:cs="Arial"/>
          <w:bCs/>
          <w:sz w:val="24"/>
          <w:szCs w:val="24"/>
          <w:lang w:val="es-EC"/>
        </w:rPr>
      </w:pPr>
    </w:p>
    <w:p w14:paraId="066C0AA3" w14:textId="75504FF8" w:rsidR="00DE52EF" w:rsidRPr="000F63B2" w:rsidRDefault="00DE52EF" w:rsidP="00BD6A65">
      <w:pPr>
        <w:spacing w:after="0" w:line="240" w:lineRule="auto"/>
        <w:jc w:val="center"/>
        <w:rPr>
          <w:rFonts w:ascii="Arial" w:hAnsi="Arial" w:cs="Arial"/>
          <w:b/>
          <w:i/>
          <w:iCs/>
          <w:lang w:val="es-EC"/>
        </w:rPr>
      </w:pPr>
      <w:r w:rsidRPr="000F63B2">
        <w:rPr>
          <w:rFonts w:ascii="Arial" w:hAnsi="Arial" w:cs="Arial"/>
          <w:b/>
          <w:i/>
          <w:iCs/>
          <w:lang w:val="es-EC"/>
        </w:rPr>
        <w:t>Tabla 2</w:t>
      </w:r>
      <w:r w:rsidR="00BD6A65" w:rsidRPr="000F63B2">
        <w:rPr>
          <w:rFonts w:ascii="Arial" w:hAnsi="Arial" w:cs="Arial"/>
          <w:b/>
          <w:i/>
          <w:iCs/>
          <w:lang w:val="es-EC"/>
        </w:rPr>
        <w:t>:</w:t>
      </w:r>
    </w:p>
    <w:p w14:paraId="79E0B367" w14:textId="2C0E53C5" w:rsidR="00DE52EF" w:rsidRPr="000F63B2" w:rsidRDefault="00DE52EF" w:rsidP="00BD6A65">
      <w:pPr>
        <w:spacing w:after="0" w:line="240" w:lineRule="auto"/>
        <w:jc w:val="center"/>
        <w:rPr>
          <w:rFonts w:ascii="Arial" w:hAnsi="Arial" w:cs="Arial"/>
          <w:bCs/>
          <w:i/>
          <w:iCs/>
          <w:lang w:val="es-EC"/>
        </w:rPr>
      </w:pPr>
      <w:r w:rsidRPr="000F63B2">
        <w:rPr>
          <w:rFonts w:ascii="Arial" w:hAnsi="Arial" w:cs="Arial"/>
          <w:bCs/>
          <w:i/>
          <w:iCs/>
          <w:lang w:val="es-EC"/>
        </w:rPr>
        <w:t>Datos de estrés según investigadores</w:t>
      </w:r>
    </w:p>
    <w:tbl>
      <w:tblPr>
        <w:tblW w:w="11855" w:type="dxa"/>
        <w:tblCellMar>
          <w:left w:w="70" w:type="dxa"/>
          <w:right w:w="70" w:type="dxa"/>
        </w:tblCellMar>
        <w:tblLook w:val="04A0" w:firstRow="1" w:lastRow="0" w:firstColumn="1" w:lastColumn="0" w:noHBand="0" w:noVBand="1"/>
      </w:tblPr>
      <w:tblGrid>
        <w:gridCol w:w="2371"/>
        <w:gridCol w:w="2371"/>
        <w:gridCol w:w="2371"/>
        <w:gridCol w:w="2371"/>
        <w:gridCol w:w="2371"/>
      </w:tblGrid>
      <w:tr w:rsidR="00DE52EF" w:rsidRPr="000F63B2" w14:paraId="5BA64AA1" w14:textId="77777777" w:rsidTr="00F67674">
        <w:trPr>
          <w:trHeight w:val="313"/>
        </w:trPr>
        <w:tc>
          <w:tcPr>
            <w:tcW w:w="2371" w:type="dxa"/>
            <w:tcBorders>
              <w:top w:val="single" w:sz="4" w:space="0" w:color="auto"/>
              <w:bottom w:val="single" w:sz="4" w:space="0" w:color="auto"/>
            </w:tcBorders>
            <w:shd w:val="clear" w:color="auto" w:fill="auto"/>
            <w:hideMark/>
          </w:tcPr>
          <w:p w14:paraId="3C4F6C5B"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 </w:t>
            </w:r>
          </w:p>
        </w:tc>
        <w:tc>
          <w:tcPr>
            <w:tcW w:w="2371" w:type="dxa"/>
            <w:tcBorders>
              <w:top w:val="single" w:sz="4" w:space="0" w:color="auto"/>
              <w:bottom w:val="single" w:sz="4" w:space="0" w:color="auto"/>
            </w:tcBorders>
            <w:shd w:val="clear" w:color="auto" w:fill="auto"/>
            <w:hideMark/>
          </w:tcPr>
          <w:p w14:paraId="4DFCB54D"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Casos</w:t>
            </w:r>
          </w:p>
        </w:tc>
        <w:tc>
          <w:tcPr>
            <w:tcW w:w="2371" w:type="dxa"/>
            <w:tcBorders>
              <w:top w:val="single" w:sz="4" w:space="0" w:color="auto"/>
              <w:bottom w:val="single" w:sz="4" w:space="0" w:color="auto"/>
            </w:tcBorders>
            <w:shd w:val="clear" w:color="auto" w:fill="auto"/>
            <w:hideMark/>
          </w:tcPr>
          <w:p w14:paraId="72C4276E"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Estrés</w:t>
            </w:r>
          </w:p>
        </w:tc>
        <w:tc>
          <w:tcPr>
            <w:tcW w:w="2371" w:type="dxa"/>
            <w:tcBorders>
              <w:top w:val="single" w:sz="4" w:space="0" w:color="auto"/>
              <w:bottom w:val="single" w:sz="4" w:space="0" w:color="auto"/>
            </w:tcBorders>
            <w:shd w:val="clear" w:color="auto" w:fill="auto"/>
            <w:hideMark/>
          </w:tcPr>
          <w:p w14:paraId="6A29ACB5"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w:t>
            </w:r>
          </w:p>
        </w:tc>
        <w:tc>
          <w:tcPr>
            <w:tcW w:w="2371" w:type="dxa"/>
            <w:tcBorders>
              <w:right w:val="nil"/>
            </w:tcBorders>
            <w:shd w:val="clear" w:color="auto" w:fill="auto"/>
            <w:noWrap/>
            <w:vAlign w:val="bottom"/>
            <w:hideMark/>
          </w:tcPr>
          <w:p w14:paraId="5BD37E6F" w14:textId="77777777" w:rsidR="00DE52EF" w:rsidRPr="000F63B2" w:rsidRDefault="00DE52EF" w:rsidP="00DE52EF">
            <w:pPr>
              <w:spacing w:after="0" w:line="240" w:lineRule="auto"/>
              <w:jc w:val="both"/>
              <w:rPr>
                <w:rFonts w:ascii="Arial" w:hAnsi="Arial" w:cs="Arial"/>
                <w:bCs/>
                <w:sz w:val="24"/>
                <w:szCs w:val="24"/>
                <w:lang w:val="es-EC"/>
              </w:rPr>
            </w:pPr>
          </w:p>
        </w:tc>
      </w:tr>
      <w:tr w:rsidR="00DE52EF" w:rsidRPr="000F63B2" w14:paraId="60CC6FCD" w14:textId="77777777" w:rsidTr="00F67674">
        <w:trPr>
          <w:trHeight w:val="313"/>
        </w:trPr>
        <w:tc>
          <w:tcPr>
            <w:tcW w:w="2371" w:type="dxa"/>
            <w:tcBorders>
              <w:top w:val="single" w:sz="4" w:space="0" w:color="auto"/>
            </w:tcBorders>
            <w:shd w:val="clear" w:color="auto" w:fill="auto"/>
            <w:hideMark/>
          </w:tcPr>
          <w:p w14:paraId="1589E852" w14:textId="77777777" w:rsidR="00DE52EF" w:rsidRPr="000F63B2" w:rsidRDefault="00DE52EF" w:rsidP="00DE52EF">
            <w:pPr>
              <w:spacing w:after="0" w:line="240" w:lineRule="auto"/>
              <w:jc w:val="both"/>
              <w:rPr>
                <w:rFonts w:ascii="Arial" w:hAnsi="Arial" w:cs="Arial"/>
                <w:bCs/>
                <w:sz w:val="24"/>
                <w:szCs w:val="24"/>
                <w:lang w:val="es-EC"/>
              </w:rPr>
            </w:pPr>
            <w:proofErr w:type="spellStart"/>
            <w:r w:rsidRPr="000F63B2">
              <w:rPr>
                <w:rFonts w:ascii="Arial" w:hAnsi="Arial" w:cs="Arial"/>
                <w:bCs/>
                <w:sz w:val="24"/>
                <w:szCs w:val="24"/>
                <w:lang w:val="es-EC"/>
              </w:rPr>
              <w:t>Newby</w:t>
            </w:r>
            <w:proofErr w:type="spellEnd"/>
          </w:p>
        </w:tc>
        <w:tc>
          <w:tcPr>
            <w:tcW w:w="2371" w:type="dxa"/>
            <w:tcBorders>
              <w:top w:val="single" w:sz="4" w:space="0" w:color="auto"/>
            </w:tcBorders>
            <w:shd w:val="clear" w:color="auto" w:fill="auto"/>
            <w:hideMark/>
          </w:tcPr>
          <w:p w14:paraId="66A23F7E"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5070</w:t>
            </w:r>
          </w:p>
        </w:tc>
        <w:tc>
          <w:tcPr>
            <w:tcW w:w="2371" w:type="dxa"/>
            <w:tcBorders>
              <w:top w:val="single" w:sz="4" w:space="0" w:color="auto"/>
            </w:tcBorders>
            <w:shd w:val="clear" w:color="auto" w:fill="auto"/>
            <w:hideMark/>
          </w:tcPr>
          <w:p w14:paraId="796ABD54"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3245</w:t>
            </w:r>
          </w:p>
        </w:tc>
        <w:tc>
          <w:tcPr>
            <w:tcW w:w="2371" w:type="dxa"/>
            <w:tcBorders>
              <w:top w:val="single" w:sz="4" w:space="0" w:color="auto"/>
            </w:tcBorders>
            <w:shd w:val="clear" w:color="auto" w:fill="auto"/>
            <w:hideMark/>
          </w:tcPr>
          <w:p w14:paraId="0EEE49B0"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64%</w:t>
            </w:r>
          </w:p>
        </w:tc>
        <w:tc>
          <w:tcPr>
            <w:tcW w:w="2371" w:type="dxa"/>
            <w:tcBorders>
              <w:top w:val="nil"/>
              <w:right w:val="nil"/>
            </w:tcBorders>
            <w:shd w:val="clear" w:color="auto" w:fill="auto"/>
            <w:noWrap/>
            <w:vAlign w:val="bottom"/>
            <w:hideMark/>
          </w:tcPr>
          <w:p w14:paraId="668D9650" w14:textId="77777777" w:rsidR="00DE52EF" w:rsidRPr="000F63B2" w:rsidRDefault="00DE52EF" w:rsidP="00DE52EF">
            <w:pPr>
              <w:spacing w:after="0" w:line="240" w:lineRule="auto"/>
              <w:jc w:val="both"/>
              <w:rPr>
                <w:rFonts w:ascii="Arial" w:hAnsi="Arial" w:cs="Arial"/>
                <w:bCs/>
                <w:sz w:val="24"/>
                <w:szCs w:val="24"/>
                <w:lang w:val="es-EC"/>
              </w:rPr>
            </w:pPr>
          </w:p>
        </w:tc>
      </w:tr>
      <w:tr w:rsidR="00DE52EF" w:rsidRPr="000F63B2" w14:paraId="6EDF7A40" w14:textId="77777777" w:rsidTr="00F67674">
        <w:trPr>
          <w:trHeight w:val="313"/>
        </w:trPr>
        <w:tc>
          <w:tcPr>
            <w:tcW w:w="2371" w:type="dxa"/>
            <w:tcBorders>
              <w:top w:val="nil"/>
            </w:tcBorders>
            <w:shd w:val="clear" w:color="auto" w:fill="auto"/>
            <w:hideMark/>
          </w:tcPr>
          <w:p w14:paraId="1DE9E52A" w14:textId="77777777" w:rsidR="00DE52EF" w:rsidRPr="000F63B2" w:rsidRDefault="00DE52EF" w:rsidP="00DE52EF">
            <w:pPr>
              <w:spacing w:after="0" w:line="240" w:lineRule="auto"/>
              <w:jc w:val="both"/>
              <w:rPr>
                <w:rFonts w:ascii="Arial" w:hAnsi="Arial" w:cs="Arial"/>
                <w:bCs/>
                <w:sz w:val="24"/>
                <w:szCs w:val="24"/>
                <w:lang w:val="es-EC"/>
              </w:rPr>
            </w:pPr>
            <w:proofErr w:type="spellStart"/>
            <w:r w:rsidRPr="000F63B2">
              <w:rPr>
                <w:rFonts w:ascii="Arial" w:hAnsi="Arial" w:cs="Arial"/>
                <w:bCs/>
                <w:sz w:val="24"/>
                <w:szCs w:val="24"/>
                <w:lang w:val="es-EC"/>
              </w:rPr>
              <w:t>Krammer</w:t>
            </w:r>
            <w:proofErr w:type="spellEnd"/>
          </w:p>
        </w:tc>
        <w:tc>
          <w:tcPr>
            <w:tcW w:w="2371" w:type="dxa"/>
            <w:tcBorders>
              <w:top w:val="nil"/>
            </w:tcBorders>
            <w:shd w:val="clear" w:color="auto" w:fill="auto"/>
            <w:hideMark/>
          </w:tcPr>
          <w:p w14:paraId="31093FFF"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100</w:t>
            </w:r>
          </w:p>
        </w:tc>
        <w:tc>
          <w:tcPr>
            <w:tcW w:w="2371" w:type="dxa"/>
            <w:tcBorders>
              <w:top w:val="nil"/>
            </w:tcBorders>
            <w:shd w:val="clear" w:color="auto" w:fill="auto"/>
            <w:hideMark/>
          </w:tcPr>
          <w:p w14:paraId="4AE8D4E8"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41</w:t>
            </w:r>
          </w:p>
        </w:tc>
        <w:tc>
          <w:tcPr>
            <w:tcW w:w="2371" w:type="dxa"/>
            <w:tcBorders>
              <w:top w:val="nil"/>
            </w:tcBorders>
            <w:shd w:val="clear" w:color="auto" w:fill="auto"/>
            <w:hideMark/>
          </w:tcPr>
          <w:p w14:paraId="613C95C1"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41%</w:t>
            </w:r>
          </w:p>
        </w:tc>
        <w:tc>
          <w:tcPr>
            <w:tcW w:w="2371" w:type="dxa"/>
            <w:tcBorders>
              <w:top w:val="nil"/>
              <w:right w:val="nil"/>
            </w:tcBorders>
            <w:shd w:val="clear" w:color="auto" w:fill="auto"/>
            <w:noWrap/>
            <w:vAlign w:val="bottom"/>
            <w:hideMark/>
          </w:tcPr>
          <w:p w14:paraId="6C4A0645" w14:textId="77777777" w:rsidR="00DE52EF" w:rsidRPr="000F63B2" w:rsidRDefault="00DE52EF" w:rsidP="00DE52EF">
            <w:pPr>
              <w:spacing w:after="0" w:line="240" w:lineRule="auto"/>
              <w:jc w:val="both"/>
              <w:rPr>
                <w:rFonts w:ascii="Arial" w:hAnsi="Arial" w:cs="Arial"/>
                <w:bCs/>
                <w:sz w:val="24"/>
                <w:szCs w:val="24"/>
                <w:lang w:val="es-EC"/>
              </w:rPr>
            </w:pPr>
          </w:p>
        </w:tc>
      </w:tr>
      <w:tr w:rsidR="00DE52EF" w:rsidRPr="000F63B2" w14:paraId="2E7E9CA6" w14:textId="77777777" w:rsidTr="00F67674">
        <w:trPr>
          <w:trHeight w:val="313"/>
        </w:trPr>
        <w:tc>
          <w:tcPr>
            <w:tcW w:w="2371" w:type="dxa"/>
            <w:tcBorders>
              <w:top w:val="nil"/>
            </w:tcBorders>
            <w:shd w:val="clear" w:color="auto" w:fill="auto"/>
            <w:hideMark/>
          </w:tcPr>
          <w:p w14:paraId="0E61ECC1"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Neill</w:t>
            </w:r>
          </w:p>
        </w:tc>
        <w:tc>
          <w:tcPr>
            <w:tcW w:w="2371" w:type="dxa"/>
            <w:tcBorders>
              <w:top w:val="nil"/>
            </w:tcBorders>
            <w:shd w:val="clear" w:color="auto" w:fill="auto"/>
            <w:hideMark/>
          </w:tcPr>
          <w:p w14:paraId="5DC45332"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5158</w:t>
            </w:r>
          </w:p>
        </w:tc>
        <w:tc>
          <w:tcPr>
            <w:tcW w:w="2371" w:type="dxa"/>
            <w:tcBorders>
              <w:top w:val="nil"/>
            </w:tcBorders>
            <w:shd w:val="clear" w:color="auto" w:fill="auto"/>
            <w:hideMark/>
          </w:tcPr>
          <w:p w14:paraId="4FB89003"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762</w:t>
            </w:r>
          </w:p>
        </w:tc>
        <w:tc>
          <w:tcPr>
            <w:tcW w:w="2371" w:type="dxa"/>
            <w:tcBorders>
              <w:top w:val="nil"/>
            </w:tcBorders>
            <w:shd w:val="clear" w:color="auto" w:fill="auto"/>
            <w:hideMark/>
          </w:tcPr>
          <w:p w14:paraId="76799DAD"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14,70%</w:t>
            </w:r>
          </w:p>
        </w:tc>
        <w:tc>
          <w:tcPr>
            <w:tcW w:w="2371" w:type="dxa"/>
            <w:tcBorders>
              <w:top w:val="nil"/>
              <w:right w:val="nil"/>
            </w:tcBorders>
            <w:shd w:val="clear" w:color="auto" w:fill="auto"/>
            <w:noWrap/>
            <w:vAlign w:val="bottom"/>
            <w:hideMark/>
          </w:tcPr>
          <w:p w14:paraId="32A2E6D7" w14:textId="77777777" w:rsidR="00DE52EF" w:rsidRPr="000F63B2" w:rsidRDefault="00DE52EF" w:rsidP="00DE52EF">
            <w:pPr>
              <w:spacing w:after="0" w:line="240" w:lineRule="auto"/>
              <w:jc w:val="both"/>
              <w:rPr>
                <w:rFonts w:ascii="Arial" w:hAnsi="Arial" w:cs="Arial"/>
                <w:bCs/>
                <w:sz w:val="24"/>
                <w:szCs w:val="24"/>
                <w:lang w:val="es-EC"/>
              </w:rPr>
            </w:pPr>
          </w:p>
        </w:tc>
      </w:tr>
      <w:tr w:rsidR="00DE52EF" w:rsidRPr="000F63B2" w14:paraId="614E4015" w14:textId="77777777" w:rsidTr="00F67674">
        <w:trPr>
          <w:trHeight w:val="313"/>
        </w:trPr>
        <w:tc>
          <w:tcPr>
            <w:tcW w:w="2371" w:type="dxa"/>
            <w:tcBorders>
              <w:top w:val="nil"/>
            </w:tcBorders>
            <w:shd w:val="clear" w:color="auto" w:fill="auto"/>
            <w:hideMark/>
          </w:tcPr>
          <w:p w14:paraId="4A4C5E47"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Lee</w:t>
            </w:r>
          </w:p>
        </w:tc>
        <w:tc>
          <w:tcPr>
            <w:tcW w:w="2371" w:type="dxa"/>
            <w:tcBorders>
              <w:top w:val="nil"/>
            </w:tcBorders>
            <w:shd w:val="clear" w:color="auto" w:fill="auto"/>
            <w:hideMark/>
          </w:tcPr>
          <w:p w14:paraId="6EC998B1"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775</w:t>
            </w:r>
          </w:p>
        </w:tc>
        <w:tc>
          <w:tcPr>
            <w:tcW w:w="2371" w:type="dxa"/>
            <w:tcBorders>
              <w:top w:val="nil"/>
            </w:tcBorders>
            <w:shd w:val="clear" w:color="auto" w:fill="auto"/>
            <w:hideMark/>
          </w:tcPr>
          <w:p w14:paraId="46F3A268"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571</w:t>
            </w:r>
          </w:p>
        </w:tc>
        <w:tc>
          <w:tcPr>
            <w:tcW w:w="2371" w:type="dxa"/>
            <w:tcBorders>
              <w:top w:val="nil"/>
            </w:tcBorders>
            <w:shd w:val="clear" w:color="auto" w:fill="auto"/>
            <w:hideMark/>
          </w:tcPr>
          <w:p w14:paraId="0BAA3D09"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73,60%</w:t>
            </w:r>
          </w:p>
        </w:tc>
        <w:tc>
          <w:tcPr>
            <w:tcW w:w="2371" w:type="dxa"/>
            <w:tcBorders>
              <w:top w:val="nil"/>
              <w:right w:val="nil"/>
            </w:tcBorders>
            <w:shd w:val="clear" w:color="auto" w:fill="auto"/>
            <w:noWrap/>
            <w:vAlign w:val="bottom"/>
            <w:hideMark/>
          </w:tcPr>
          <w:p w14:paraId="1CF4402A" w14:textId="77777777" w:rsidR="00DE52EF" w:rsidRPr="000F63B2" w:rsidRDefault="00DE52EF" w:rsidP="00DE52EF">
            <w:pPr>
              <w:spacing w:after="0" w:line="240" w:lineRule="auto"/>
              <w:jc w:val="both"/>
              <w:rPr>
                <w:rFonts w:ascii="Arial" w:hAnsi="Arial" w:cs="Arial"/>
                <w:bCs/>
                <w:sz w:val="24"/>
                <w:szCs w:val="24"/>
                <w:lang w:val="es-EC"/>
              </w:rPr>
            </w:pPr>
          </w:p>
        </w:tc>
      </w:tr>
      <w:tr w:rsidR="00DE52EF" w:rsidRPr="000F63B2" w14:paraId="4E916B62" w14:textId="77777777" w:rsidTr="00F67674">
        <w:trPr>
          <w:trHeight w:val="313"/>
        </w:trPr>
        <w:tc>
          <w:tcPr>
            <w:tcW w:w="2371" w:type="dxa"/>
            <w:tcBorders>
              <w:top w:val="nil"/>
            </w:tcBorders>
            <w:shd w:val="clear" w:color="auto" w:fill="auto"/>
            <w:hideMark/>
          </w:tcPr>
          <w:p w14:paraId="11FD41A5"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Stanton</w:t>
            </w:r>
          </w:p>
        </w:tc>
        <w:tc>
          <w:tcPr>
            <w:tcW w:w="2371" w:type="dxa"/>
            <w:tcBorders>
              <w:top w:val="nil"/>
            </w:tcBorders>
            <w:shd w:val="clear" w:color="auto" w:fill="auto"/>
            <w:hideMark/>
          </w:tcPr>
          <w:p w14:paraId="3BCC0C84"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1491</w:t>
            </w:r>
          </w:p>
        </w:tc>
        <w:tc>
          <w:tcPr>
            <w:tcW w:w="2371" w:type="dxa"/>
            <w:tcBorders>
              <w:top w:val="nil"/>
            </w:tcBorders>
            <w:shd w:val="clear" w:color="auto" w:fill="auto"/>
            <w:hideMark/>
          </w:tcPr>
          <w:p w14:paraId="1E08F8ED"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143</w:t>
            </w:r>
          </w:p>
        </w:tc>
        <w:tc>
          <w:tcPr>
            <w:tcW w:w="2371" w:type="dxa"/>
            <w:tcBorders>
              <w:top w:val="nil"/>
            </w:tcBorders>
            <w:shd w:val="clear" w:color="auto" w:fill="auto"/>
            <w:hideMark/>
          </w:tcPr>
          <w:p w14:paraId="59424ED3"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14%</w:t>
            </w:r>
          </w:p>
        </w:tc>
        <w:tc>
          <w:tcPr>
            <w:tcW w:w="2371" w:type="dxa"/>
            <w:tcBorders>
              <w:top w:val="nil"/>
              <w:right w:val="nil"/>
            </w:tcBorders>
            <w:shd w:val="clear" w:color="auto" w:fill="auto"/>
            <w:noWrap/>
            <w:vAlign w:val="bottom"/>
            <w:hideMark/>
          </w:tcPr>
          <w:p w14:paraId="5FD6CD5E" w14:textId="77777777" w:rsidR="00DE52EF" w:rsidRPr="000F63B2" w:rsidRDefault="00DE52EF" w:rsidP="00DE52EF">
            <w:pPr>
              <w:spacing w:after="0" w:line="240" w:lineRule="auto"/>
              <w:jc w:val="both"/>
              <w:rPr>
                <w:rFonts w:ascii="Arial" w:hAnsi="Arial" w:cs="Arial"/>
                <w:bCs/>
                <w:sz w:val="24"/>
                <w:szCs w:val="24"/>
                <w:lang w:val="es-EC"/>
              </w:rPr>
            </w:pPr>
          </w:p>
        </w:tc>
      </w:tr>
      <w:tr w:rsidR="00DE52EF" w:rsidRPr="000F63B2" w14:paraId="075CDE0D" w14:textId="77777777" w:rsidTr="00F67674">
        <w:trPr>
          <w:trHeight w:val="313"/>
        </w:trPr>
        <w:tc>
          <w:tcPr>
            <w:tcW w:w="2371" w:type="dxa"/>
            <w:tcBorders>
              <w:top w:val="nil"/>
            </w:tcBorders>
            <w:shd w:val="clear" w:color="auto" w:fill="auto"/>
            <w:hideMark/>
          </w:tcPr>
          <w:p w14:paraId="3BD17F72"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Sidor</w:t>
            </w:r>
          </w:p>
        </w:tc>
        <w:tc>
          <w:tcPr>
            <w:tcW w:w="2371" w:type="dxa"/>
            <w:tcBorders>
              <w:top w:val="nil"/>
            </w:tcBorders>
            <w:shd w:val="clear" w:color="auto" w:fill="auto"/>
            <w:hideMark/>
          </w:tcPr>
          <w:p w14:paraId="6F130104"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1097</w:t>
            </w:r>
          </w:p>
        </w:tc>
        <w:tc>
          <w:tcPr>
            <w:tcW w:w="2371" w:type="dxa"/>
            <w:tcBorders>
              <w:top w:val="nil"/>
            </w:tcBorders>
            <w:shd w:val="clear" w:color="auto" w:fill="auto"/>
            <w:hideMark/>
          </w:tcPr>
          <w:p w14:paraId="471AF708"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472</w:t>
            </w:r>
          </w:p>
        </w:tc>
        <w:tc>
          <w:tcPr>
            <w:tcW w:w="2371" w:type="dxa"/>
            <w:tcBorders>
              <w:top w:val="nil"/>
            </w:tcBorders>
            <w:shd w:val="clear" w:color="auto" w:fill="auto"/>
            <w:hideMark/>
          </w:tcPr>
          <w:p w14:paraId="7083BC0E"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43%</w:t>
            </w:r>
          </w:p>
        </w:tc>
        <w:tc>
          <w:tcPr>
            <w:tcW w:w="2371" w:type="dxa"/>
            <w:tcBorders>
              <w:top w:val="nil"/>
              <w:right w:val="nil"/>
            </w:tcBorders>
            <w:shd w:val="clear" w:color="auto" w:fill="auto"/>
            <w:noWrap/>
            <w:vAlign w:val="bottom"/>
            <w:hideMark/>
          </w:tcPr>
          <w:p w14:paraId="08D2503D" w14:textId="77777777" w:rsidR="00DE52EF" w:rsidRPr="000F63B2" w:rsidRDefault="00DE52EF" w:rsidP="00DE52EF">
            <w:pPr>
              <w:spacing w:after="0" w:line="240" w:lineRule="auto"/>
              <w:jc w:val="both"/>
              <w:rPr>
                <w:rFonts w:ascii="Arial" w:hAnsi="Arial" w:cs="Arial"/>
                <w:bCs/>
                <w:sz w:val="24"/>
                <w:szCs w:val="24"/>
                <w:lang w:val="es-EC"/>
              </w:rPr>
            </w:pPr>
          </w:p>
        </w:tc>
      </w:tr>
      <w:tr w:rsidR="00DE52EF" w:rsidRPr="000F63B2" w14:paraId="116BE344" w14:textId="77777777" w:rsidTr="00F67674">
        <w:trPr>
          <w:trHeight w:val="313"/>
        </w:trPr>
        <w:tc>
          <w:tcPr>
            <w:tcW w:w="2371" w:type="dxa"/>
            <w:tcBorders>
              <w:top w:val="nil"/>
            </w:tcBorders>
            <w:shd w:val="clear" w:color="auto" w:fill="auto"/>
            <w:hideMark/>
          </w:tcPr>
          <w:p w14:paraId="10BF3A72"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Wang</w:t>
            </w:r>
          </w:p>
        </w:tc>
        <w:tc>
          <w:tcPr>
            <w:tcW w:w="2371" w:type="dxa"/>
            <w:tcBorders>
              <w:top w:val="nil"/>
            </w:tcBorders>
            <w:shd w:val="clear" w:color="auto" w:fill="auto"/>
            <w:hideMark/>
          </w:tcPr>
          <w:p w14:paraId="1331D0DA"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6213</w:t>
            </w:r>
          </w:p>
        </w:tc>
        <w:tc>
          <w:tcPr>
            <w:tcW w:w="2371" w:type="dxa"/>
            <w:tcBorders>
              <w:top w:val="nil"/>
            </w:tcBorders>
            <w:shd w:val="clear" w:color="auto" w:fill="auto"/>
            <w:hideMark/>
          </w:tcPr>
          <w:p w14:paraId="7925FFD4"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839</w:t>
            </w:r>
          </w:p>
        </w:tc>
        <w:tc>
          <w:tcPr>
            <w:tcW w:w="2371" w:type="dxa"/>
            <w:tcBorders>
              <w:top w:val="nil"/>
            </w:tcBorders>
            <w:shd w:val="clear" w:color="auto" w:fill="auto"/>
            <w:hideMark/>
          </w:tcPr>
          <w:p w14:paraId="41D4508A"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13,50%</w:t>
            </w:r>
          </w:p>
        </w:tc>
        <w:tc>
          <w:tcPr>
            <w:tcW w:w="2371" w:type="dxa"/>
            <w:tcBorders>
              <w:top w:val="nil"/>
              <w:right w:val="nil"/>
            </w:tcBorders>
            <w:shd w:val="clear" w:color="auto" w:fill="auto"/>
            <w:noWrap/>
            <w:vAlign w:val="bottom"/>
            <w:hideMark/>
          </w:tcPr>
          <w:p w14:paraId="0922A6F6" w14:textId="77777777" w:rsidR="00DE52EF" w:rsidRPr="000F63B2" w:rsidRDefault="00DE52EF" w:rsidP="00DE52EF">
            <w:pPr>
              <w:spacing w:after="0" w:line="240" w:lineRule="auto"/>
              <w:jc w:val="both"/>
              <w:rPr>
                <w:rFonts w:ascii="Arial" w:hAnsi="Arial" w:cs="Arial"/>
                <w:bCs/>
                <w:sz w:val="24"/>
                <w:szCs w:val="24"/>
                <w:lang w:val="es-EC"/>
              </w:rPr>
            </w:pPr>
          </w:p>
        </w:tc>
      </w:tr>
      <w:tr w:rsidR="00DE52EF" w:rsidRPr="000F63B2" w14:paraId="486BAB74" w14:textId="77777777" w:rsidTr="00F67674">
        <w:trPr>
          <w:trHeight w:val="313"/>
        </w:trPr>
        <w:tc>
          <w:tcPr>
            <w:tcW w:w="2371" w:type="dxa"/>
            <w:tcBorders>
              <w:top w:val="nil"/>
            </w:tcBorders>
            <w:shd w:val="clear" w:color="auto" w:fill="auto"/>
            <w:hideMark/>
          </w:tcPr>
          <w:p w14:paraId="72FA6E82"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lastRenderedPageBreak/>
              <w:t>Rodríguez</w:t>
            </w:r>
          </w:p>
        </w:tc>
        <w:tc>
          <w:tcPr>
            <w:tcW w:w="2371" w:type="dxa"/>
            <w:tcBorders>
              <w:top w:val="nil"/>
            </w:tcBorders>
            <w:shd w:val="clear" w:color="auto" w:fill="auto"/>
            <w:hideMark/>
          </w:tcPr>
          <w:p w14:paraId="0C6E6405"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774</w:t>
            </w:r>
          </w:p>
        </w:tc>
        <w:tc>
          <w:tcPr>
            <w:tcW w:w="2371" w:type="dxa"/>
            <w:tcBorders>
              <w:top w:val="nil"/>
            </w:tcBorders>
            <w:shd w:val="clear" w:color="auto" w:fill="auto"/>
            <w:hideMark/>
          </w:tcPr>
          <w:p w14:paraId="01FFD1C9"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387</w:t>
            </w:r>
          </w:p>
        </w:tc>
        <w:tc>
          <w:tcPr>
            <w:tcW w:w="2371" w:type="dxa"/>
            <w:tcBorders>
              <w:top w:val="nil"/>
            </w:tcBorders>
            <w:shd w:val="clear" w:color="auto" w:fill="auto"/>
            <w:hideMark/>
          </w:tcPr>
          <w:p w14:paraId="4E1FC7D0"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50%</w:t>
            </w:r>
          </w:p>
        </w:tc>
        <w:tc>
          <w:tcPr>
            <w:tcW w:w="2371" w:type="dxa"/>
            <w:tcBorders>
              <w:top w:val="nil"/>
              <w:right w:val="nil"/>
            </w:tcBorders>
            <w:shd w:val="clear" w:color="auto" w:fill="auto"/>
            <w:noWrap/>
            <w:vAlign w:val="bottom"/>
            <w:hideMark/>
          </w:tcPr>
          <w:p w14:paraId="34414E75" w14:textId="77777777" w:rsidR="00DE52EF" w:rsidRPr="000F63B2" w:rsidRDefault="00DE52EF" w:rsidP="00DE52EF">
            <w:pPr>
              <w:spacing w:after="0" w:line="240" w:lineRule="auto"/>
              <w:jc w:val="both"/>
              <w:rPr>
                <w:rFonts w:ascii="Arial" w:hAnsi="Arial" w:cs="Arial"/>
                <w:bCs/>
                <w:sz w:val="24"/>
                <w:szCs w:val="24"/>
                <w:lang w:val="es-EC"/>
              </w:rPr>
            </w:pPr>
          </w:p>
        </w:tc>
      </w:tr>
      <w:tr w:rsidR="00DE52EF" w:rsidRPr="000F63B2" w14:paraId="77E66E45" w14:textId="77777777" w:rsidTr="00F67674">
        <w:trPr>
          <w:trHeight w:val="313"/>
        </w:trPr>
        <w:tc>
          <w:tcPr>
            <w:tcW w:w="2371" w:type="dxa"/>
            <w:tcBorders>
              <w:top w:val="nil"/>
              <w:bottom w:val="single" w:sz="4" w:space="0" w:color="auto"/>
            </w:tcBorders>
            <w:shd w:val="clear" w:color="auto" w:fill="auto"/>
            <w:hideMark/>
          </w:tcPr>
          <w:p w14:paraId="659D6FE2"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Conejero</w:t>
            </w:r>
          </w:p>
        </w:tc>
        <w:tc>
          <w:tcPr>
            <w:tcW w:w="2371" w:type="dxa"/>
            <w:tcBorders>
              <w:top w:val="nil"/>
              <w:bottom w:val="single" w:sz="4" w:space="0" w:color="auto"/>
            </w:tcBorders>
            <w:shd w:val="clear" w:color="auto" w:fill="auto"/>
            <w:hideMark/>
          </w:tcPr>
          <w:p w14:paraId="63DA1CC6"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1257</w:t>
            </w:r>
          </w:p>
        </w:tc>
        <w:tc>
          <w:tcPr>
            <w:tcW w:w="2371" w:type="dxa"/>
            <w:tcBorders>
              <w:top w:val="nil"/>
              <w:bottom w:val="single" w:sz="4" w:space="0" w:color="auto"/>
            </w:tcBorders>
            <w:shd w:val="clear" w:color="auto" w:fill="auto"/>
            <w:hideMark/>
          </w:tcPr>
          <w:p w14:paraId="418EB271"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892</w:t>
            </w:r>
          </w:p>
        </w:tc>
        <w:tc>
          <w:tcPr>
            <w:tcW w:w="2371" w:type="dxa"/>
            <w:tcBorders>
              <w:top w:val="nil"/>
              <w:bottom w:val="single" w:sz="4" w:space="0" w:color="auto"/>
            </w:tcBorders>
            <w:shd w:val="clear" w:color="auto" w:fill="auto"/>
            <w:hideMark/>
          </w:tcPr>
          <w:p w14:paraId="1A608314"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70,96%</w:t>
            </w:r>
          </w:p>
        </w:tc>
        <w:tc>
          <w:tcPr>
            <w:tcW w:w="2371" w:type="dxa"/>
            <w:tcBorders>
              <w:top w:val="nil"/>
              <w:right w:val="nil"/>
            </w:tcBorders>
            <w:shd w:val="clear" w:color="auto" w:fill="auto"/>
            <w:noWrap/>
            <w:vAlign w:val="bottom"/>
            <w:hideMark/>
          </w:tcPr>
          <w:p w14:paraId="03914A92" w14:textId="77777777" w:rsidR="00DE52EF" w:rsidRPr="000F63B2" w:rsidRDefault="00DE52EF" w:rsidP="00DE52EF">
            <w:pPr>
              <w:spacing w:after="0" w:line="240" w:lineRule="auto"/>
              <w:jc w:val="both"/>
              <w:rPr>
                <w:rFonts w:ascii="Arial" w:hAnsi="Arial" w:cs="Arial"/>
                <w:bCs/>
                <w:sz w:val="24"/>
                <w:szCs w:val="24"/>
                <w:lang w:val="es-EC"/>
              </w:rPr>
            </w:pPr>
          </w:p>
        </w:tc>
      </w:tr>
    </w:tbl>
    <w:p w14:paraId="5E2145D9" w14:textId="77777777" w:rsidR="00DE52EF" w:rsidRPr="000F63B2" w:rsidRDefault="00DE52EF" w:rsidP="00DE52EF">
      <w:pPr>
        <w:spacing w:after="0" w:line="240" w:lineRule="auto"/>
        <w:jc w:val="both"/>
        <w:rPr>
          <w:rFonts w:ascii="Arial" w:hAnsi="Arial" w:cs="Arial"/>
          <w:bCs/>
          <w:i/>
          <w:iCs/>
          <w:lang w:val="es-EC"/>
        </w:rPr>
      </w:pPr>
      <w:r w:rsidRPr="000F63B2">
        <w:rPr>
          <w:rFonts w:ascii="Arial" w:hAnsi="Arial" w:cs="Arial"/>
          <w:bCs/>
          <w:i/>
          <w:iCs/>
          <w:lang w:val="es-EC"/>
        </w:rPr>
        <w:t xml:space="preserve">Nota: Datos de estrés de autores que aplicaron encuestas online: </w:t>
      </w:r>
      <w:proofErr w:type="spellStart"/>
      <w:r w:rsidRPr="000F63B2">
        <w:rPr>
          <w:rFonts w:ascii="Arial" w:hAnsi="Arial" w:cs="Arial"/>
          <w:bCs/>
          <w:i/>
          <w:iCs/>
          <w:lang w:val="es-EC"/>
        </w:rPr>
        <w:t>Newby</w:t>
      </w:r>
      <w:proofErr w:type="spellEnd"/>
      <w:r w:rsidRPr="000F63B2">
        <w:rPr>
          <w:rFonts w:ascii="Arial" w:hAnsi="Arial" w:cs="Arial"/>
          <w:bCs/>
          <w:i/>
          <w:iCs/>
          <w:lang w:val="es-EC"/>
        </w:rPr>
        <w:t xml:space="preserve">, </w:t>
      </w:r>
      <w:proofErr w:type="spellStart"/>
      <w:r w:rsidRPr="000F63B2">
        <w:rPr>
          <w:rFonts w:ascii="Arial" w:hAnsi="Arial" w:cs="Arial"/>
          <w:bCs/>
          <w:i/>
          <w:iCs/>
          <w:lang w:val="es-EC"/>
        </w:rPr>
        <w:t>Krammer</w:t>
      </w:r>
      <w:proofErr w:type="spellEnd"/>
      <w:r w:rsidRPr="000F63B2">
        <w:rPr>
          <w:rFonts w:ascii="Arial" w:hAnsi="Arial" w:cs="Arial"/>
          <w:bCs/>
          <w:i/>
          <w:iCs/>
          <w:lang w:val="es-EC"/>
        </w:rPr>
        <w:t xml:space="preserve">, Neill, Lee, </w:t>
      </w:r>
      <w:proofErr w:type="spellStart"/>
      <w:r w:rsidRPr="000F63B2">
        <w:rPr>
          <w:rFonts w:ascii="Arial" w:hAnsi="Arial" w:cs="Arial"/>
          <w:bCs/>
          <w:i/>
          <w:iCs/>
          <w:lang w:val="es-EC"/>
        </w:rPr>
        <w:t>Staton</w:t>
      </w:r>
      <w:proofErr w:type="spellEnd"/>
      <w:r w:rsidRPr="000F63B2">
        <w:rPr>
          <w:rFonts w:ascii="Arial" w:hAnsi="Arial" w:cs="Arial"/>
          <w:bCs/>
          <w:i/>
          <w:iCs/>
          <w:lang w:val="es-EC"/>
        </w:rPr>
        <w:t>, Sidor, Wang, Rodríguez, Conejero, marzo a mayo, 2020</w:t>
      </w:r>
    </w:p>
    <w:p w14:paraId="5058AE9F" w14:textId="77777777" w:rsidR="006A07F4" w:rsidRPr="000F63B2" w:rsidRDefault="006A07F4" w:rsidP="00DE52EF">
      <w:pPr>
        <w:spacing w:after="0" w:line="240" w:lineRule="auto"/>
        <w:jc w:val="both"/>
        <w:rPr>
          <w:rFonts w:ascii="Arial" w:hAnsi="Arial" w:cs="Arial"/>
          <w:bCs/>
          <w:sz w:val="24"/>
          <w:szCs w:val="24"/>
          <w:lang w:val="es-EC"/>
        </w:rPr>
      </w:pPr>
    </w:p>
    <w:p w14:paraId="2E4635E0" w14:textId="0A754805"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 xml:space="preserve">De marzo a mayo del 2020 de acuerdo con </w:t>
      </w:r>
      <w:proofErr w:type="spellStart"/>
      <w:r w:rsidRPr="000F63B2">
        <w:rPr>
          <w:rFonts w:ascii="Arial" w:hAnsi="Arial" w:cs="Arial"/>
          <w:bCs/>
          <w:sz w:val="24"/>
          <w:szCs w:val="24"/>
          <w:lang w:val="es-EC"/>
        </w:rPr>
        <w:t>Newby</w:t>
      </w:r>
      <w:proofErr w:type="spellEnd"/>
      <w:r w:rsidRPr="000F63B2">
        <w:rPr>
          <w:rFonts w:ascii="Arial" w:hAnsi="Arial" w:cs="Arial"/>
          <w:bCs/>
          <w:sz w:val="24"/>
          <w:szCs w:val="24"/>
          <w:lang w:val="es-EC"/>
        </w:rPr>
        <w:t xml:space="preserve">, </w:t>
      </w:r>
      <w:proofErr w:type="spellStart"/>
      <w:r w:rsidRPr="000F63B2">
        <w:rPr>
          <w:rFonts w:ascii="Arial" w:hAnsi="Arial" w:cs="Arial"/>
          <w:bCs/>
          <w:sz w:val="24"/>
          <w:szCs w:val="24"/>
          <w:lang w:val="es-EC"/>
        </w:rPr>
        <w:t>Krammer</w:t>
      </w:r>
      <w:proofErr w:type="spellEnd"/>
      <w:r w:rsidRPr="000F63B2">
        <w:rPr>
          <w:rFonts w:ascii="Arial" w:hAnsi="Arial" w:cs="Arial"/>
          <w:bCs/>
          <w:sz w:val="24"/>
          <w:szCs w:val="24"/>
          <w:lang w:val="es-EC"/>
        </w:rPr>
        <w:t xml:space="preserve">, Neill, Lee, </w:t>
      </w:r>
      <w:proofErr w:type="spellStart"/>
      <w:r w:rsidRPr="000F63B2">
        <w:rPr>
          <w:rFonts w:ascii="Arial" w:hAnsi="Arial" w:cs="Arial"/>
          <w:bCs/>
          <w:sz w:val="24"/>
          <w:szCs w:val="24"/>
          <w:lang w:val="es-EC"/>
        </w:rPr>
        <w:t>Staton</w:t>
      </w:r>
      <w:proofErr w:type="spellEnd"/>
      <w:r w:rsidRPr="000F63B2">
        <w:rPr>
          <w:rFonts w:ascii="Arial" w:hAnsi="Arial" w:cs="Arial"/>
          <w:bCs/>
          <w:sz w:val="24"/>
          <w:szCs w:val="24"/>
          <w:lang w:val="es-EC"/>
        </w:rPr>
        <w:t>, Sidor, Wang, Rodríguez, Conejero</w:t>
      </w:r>
      <w:r w:rsidR="00BD6A65" w:rsidRPr="000F63B2">
        <w:rPr>
          <w:rFonts w:ascii="Arial" w:hAnsi="Arial" w:cs="Arial"/>
          <w:bCs/>
          <w:sz w:val="24"/>
          <w:szCs w:val="24"/>
          <w:lang w:val="es-EC"/>
        </w:rPr>
        <w:t>,</w:t>
      </w:r>
      <w:r w:rsidRPr="000F63B2">
        <w:rPr>
          <w:rFonts w:ascii="Arial" w:hAnsi="Arial" w:cs="Arial"/>
          <w:bCs/>
          <w:sz w:val="24"/>
          <w:szCs w:val="24"/>
          <w:lang w:val="es-EC"/>
        </w:rPr>
        <w:t xml:space="preserve"> investigadores que indican que existió aumento estrés según se puede observar. El aumento de estrés durante los primeros meses de la pandemia tendría relación con el aumento del consumo de alcohol como automedicación para el control de la sintomatología del estrés este dato seria proporcional al consumo.</w:t>
      </w:r>
    </w:p>
    <w:p w14:paraId="1287DD81" w14:textId="77777777" w:rsidR="00DE52EF" w:rsidRPr="000F63B2" w:rsidRDefault="00DE52EF" w:rsidP="00BD6A65">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El consumo de alcohol a nivel mundial, en el año 2016 fue en el 57%, mientras que durante la pandemia según el promedio de la tabla </w:t>
      </w:r>
      <w:proofErr w:type="spellStart"/>
      <w:r w:rsidRPr="000F63B2">
        <w:rPr>
          <w:rFonts w:ascii="Arial" w:hAnsi="Arial" w:cs="Arial"/>
          <w:bCs/>
          <w:sz w:val="24"/>
          <w:szCs w:val="24"/>
          <w:lang w:val="es-EC"/>
        </w:rPr>
        <w:t>N°</w:t>
      </w:r>
      <w:proofErr w:type="spellEnd"/>
      <w:r w:rsidRPr="000F63B2">
        <w:rPr>
          <w:rFonts w:ascii="Arial" w:hAnsi="Arial" w:cs="Arial"/>
          <w:bCs/>
          <w:sz w:val="24"/>
          <w:szCs w:val="24"/>
          <w:lang w:val="es-EC"/>
        </w:rPr>
        <w:t xml:space="preserve"> 3, de marzo a mayo, 2020, llego al 43%, los autores </w:t>
      </w:r>
      <w:proofErr w:type="spellStart"/>
      <w:r w:rsidRPr="000F63B2">
        <w:rPr>
          <w:rFonts w:ascii="Arial" w:hAnsi="Arial" w:cs="Arial"/>
          <w:bCs/>
          <w:sz w:val="24"/>
          <w:szCs w:val="24"/>
          <w:lang w:val="es-EC"/>
        </w:rPr>
        <w:t>Newby</w:t>
      </w:r>
      <w:proofErr w:type="spellEnd"/>
      <w:r w:rsidRPr="000F63B2">
        <w:rPr>
          <w:rFonts w:ascii="Arial" w:hAnsi="Arial" w:cs="Arial"/>
          <w:bCs/>
          <w:sz w:val="24"/>
          <w:szCs w:val="24"/>
          <w:lang w:val="es-EC"/>
        </w:rPr>
        <w:t xml:space="preserve">, </w:t>
      </w:r>
      <w:proofErr w:type="spellStart"/>
      <w:r w:rsidRPr="000F63B2">
        <w:rPr>
          <w:rFonts w:ascii="Arial" w:hAnsi="Arial" w:cs="Arial"/>
          <w:bCs/>
          <w:sz w:val="24"/>
          <w:szCs w:val="24"/>
          <w:lang w:val="es-EC"/>
        </w:rPr>
        <w:t>Chodkiewicz</w:t>
      </w:r>
      <w:proofErr w:type="spellEnd"/>
      <w:r w:rsidRPr="000F63B2">
        <w:rPr>
          <w:rFonts w:ascii="Arial" w:hAnsi="Arial" w:cs="Arial"/>
          <w:bCs/>
          <w:sz w:val="24"/>
          <w:szCs w:val="24"/>
          <w:lang w:val="es-EC"/>
        </w:rPr>
        <w:t xml:space="preserve">, Lee, tienen porcentajes sobre el 70%, como se observa en la tabla </w:t>
      </w:r>
      <w:proofErr w:type="spellStart"/>
      <w:r w:rsidRPr="000F63B2">
        <w:rPr>
          <w:rFonts w:ascii="Arial" w:hAnsi="Arial" w:cs="Arial"/>
          <w:bCs/>
          <w:sz w:val="24"/>
          <w:szCs w:val="24"/>
          <w:lang w:val="es-EC"/>
        </w:rPr>
        <w:t>N°</w:t>
      </w:r>
      <w:proofErr w:type="spellEnd"/>
      <w:r w:rsidRPr="000F63B2">
        <w:rPr>
          <w:rFonts w:ascii="Arial" w:hAnsi="Arial" w:cs="Arial"/>
          <w:bCs/>
          <w:sz w:val="24"/>
          <w:szCs w:val="24"/>
          <w:lang w:val="es-EC"/>
        </w:rPr>
        <w:t xml:space="preserve"> 4, según estos datos podemos observar que existe una disminución del consumo de alcohol durante la pandemia.</w:t>
      </w:r>
    </w:p>
    <w:p w14:paraId="01494A26" w14:textId="77777777" w:rsidR="00DE52EF" w:rsidRPr="000F63B2" w:rsidRDefault="00DE52EF" w:rsidP="00DE52EF">
      <w:pPr>
        <w:spacing w:after="0" w:line="240" w:lineRule="auto"/>
        <w:jc w:val="both"/>
        <w:rPr>
          <w:rFonts w:ascii="Arial" w:hAnsi="Arial" w:cs="Arial"/>
          <w:bCs/>
          <w:sz w:val="24"/>
          <w:szCs w:val="24"/>
          <w:lang w:val="es-EC"/>
        </w:rPr>
      </w:pPr>
    </w:p>
    <w:p w14:paraId="3DB7CB43" w14:textId="317875EA" w:rsidR="00DE52EF" w:rsidRPr="000F63B2" w:rsidRDefault="00DE52EF" w:rsidP="00BD6A65">
      <w:pPr>
        <w:spacing w:after="0" w:line="240" w:lineRule="auto"/>
        <w:jc w:val="center"/>
        <w:rPr>
          <w:rFonts w:ascii="Arial" w:hAnsi="Arial" w:cs="Arial"/>
          <w:b/>
          <w:i/>
          <w:iCs/>
          <w:lang w:val="es-EC"/>
        </w:rPr>
      </w:pPr>
      <w:r w:rsidRPr="000F63B2">
        <w:rPr>
          <w:rFonts w:ascii="Arial" w:hAnsi="Arial" w:cs="Arial"/>
          <w:b/>
          <w:i/>
          <w:iCs/>
          <w:lang w:val="es-EC"/>
        </w:rPr>
        <w:t>Tabla 3</w:t>
      </w:r>
      <w:r w:rsidR="00BD6A65" w:rsidRPr="000F63B2">
        <w:rPr>
          <w:rFonts w:ascii="Arial" w:hAnsi="Arial" w:cs="Arial"/>
          <w:b/>
          <w:i/>
          <w:iCs/>
          <w:lang w:val="es-EC"/>
        </w:rPr>
        <w:t>:</w:t>
      </w:r>
    </w:p>
    <w:p w14:paraId="4EFDAB92" w14:textId="77777777" w:rsidR="00DE52EF" w:rsidRPr="000F63B2" w:rsidRDefault="00DE52EF" w:rsidP="00BD6A65">
      <w:pPr>
        <w:spacing w:after="0" w:line="240" w:lineRule="auto"/>
        <w:jc w:val="center"/>
        <w:rPr>
          <w:rFonts w:ascii="Arial" w:hAnsi="Arial" w:cs="Arial"/>
          <w:bCs/>
          <w:i/>
          <w:iCs/>
          <w:lang w:val="es-EC"/>
        </w:rPr>
      </w:pPr>
      <w:r w:rsidRPr="000F63B2">
        <w:rPr>
          <w:rFonts w:ascii="Arial" w:hAnsi="Arial" w:cs="Arial"/>
          <w:bCs/>
          <w:i/>
          <w:iCs/>
          <w:lang w:val="es-EC"/>
        </w:rPr>
        <w:t>Consumo de alcohol al inicio de la pandemia</w:t>
      </w:r>
    </w:p>
    <w:tbl>
      <w:tblPr>
        <w:tblStyle w:val="Tablaconcuadrcula"/>
        <w:tblW w:w="9360"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0"/>
        <w:gridCol w:w="3120"/>
        <w:gridCol w:w="3120"/>
      </w:tblGrid>
      <w:tr w:rsidR="00DE52EF" w:rsidRPr="000F63B2" w14:paraId="5D2F2273" w14:textId="77777777" w:rsidTr="00F67674">
        <w:trPr>
          <w:trHeight w:val="475"/>
          <w:jc w:val="center"/>
        </w:trPr>
        <w:tc>
          <w:tcPr>
            <w:tcW w:w="3120" w:type="dxa"/>
            <w:tcBorders>
              <w:top w:val="single" w:sz="4" w:space="0" w:color="auto"/>
              <w:bottom w:val="single" w:sz="4" w:space="0" w:color="auto"/>
            </w:tcBorders>
          </w:tcPr>
          <w:p w14:paraId="74ABDEE5" w14:textId="77777777" w:rsidR="00DE52EF" w:rsidRPr="000F63B2" w:rsidRDefault="00DE52EF" w:rsidP="00DE52EF">
            <w:pPr>
              <w:jc w:val="both"/>
              <w:rPr>
                <w:rFonts w:ascii="Arial" w:hAnsi="Arial" w:cs="Arial"/>
                <w:bCs/>
                <w:sz w:val="24"/>
                <w:szCs w:val="24"/>
              </w:rPr>
            </w:pPr>
          </w:p>
        </w:tc>
        <w:tc>
          <w:tcPr>
            <w:tcW w:w="3120" w:type="dxa"/>
            <w:tcBorders>
              <w:top w:val="single" w:sz="4" w:space="0" w:color="auto"/>
              <w:bottom w:val="single" w:sz="4" w:space="0" w:color="auto"/>
            </w:tcBorders>
          </w:tcPr>
          <w:p w14:paraId="0092F5C0"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N= 27674</w:t>
            </w:r>
          </w:p>
        </w:tc>
        <w:tc>
          <w:tcPr>
            <w:tcW w:w="3120" w:type="dxa"/>
            <w:tcBorders>
              <w:top w:val="single" w:sz="4" w:space="0" w:color="auto"/>
              <w:bottom w:val="single" w:sz="4" w:space="0" w:color="auto"/>
            </w:tcBorders>
          </w:tcPr>
          <w:p w14:paraId="20EA7249"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w:t>
            </w:r>
          </w:p>
        </w:tc>
      </w:tr>
      <w:tr w:rsidR="00DE52EF" w:rsidRPr="000F63B2" w14:paraId="4CB10C6E" w14:textId="77777777" w:rsidTr="00F67674">
        <w:trPr>
          <w:trHeight w:val="461"/>
          <w:jc w:val="center"/>
        </w:trPr>
        <w:tc>
          <w:tcPr>
            <w:tcW w:w="3120" w:type="dxa"/>
            <w:tcBorders>
              <w:top w:val="single" w:sz="4" w:space="0" w:color="auto"/>
            </w:tcBorders>
          </w:tcPr>
          <w:p w14:paraId="74498980" w14:textId="77777777" w:rsidR="00DE52EF" w:rsidRPr="000F63B2" w:rsidRDefault="00DE52EF" w:rsidP="00DE52EF">
            <w:pPr>
              <w:jc w:val="both"/>
              <w:rPr>
                <w:rFonts w:ascii="Arial" w:hAnsi="Arial" w:cs="Arial"/>
                <w:bCs/>
                <w:sz w:val="24"/>
                <w:szCs w:val="24"/>
              </w:rPr>
            </w:pPr>
          </w:p>
        </w:tc>
        <w:tc>
          <w:tcPr>
            <w:tcW w:w="3120" w:type="dxa"/>
            <w:tcBorders>
              <w:top w:val="single" w:sz="4" w:space="0" w:color="auto"/>
            </w:tcBorders>
          </w:tcPr>
          <w:p w14:paraId="442CF56D"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Consumo de alcohol</w:t>
            </w:r>
          </w:p>
        </w:tc>
        <w:tc>
          <w:tcPr>
            <w:tcW w:w="3120" w:type="dxa"/>
            <w:tcBorders>
              <w:top w:val="single" w:sz="4" w:space="0" w:color="auto"/>
            </w:tcBorders>
          </w:tcPr>
          <w:p w14:paraId="0BD02F3E" w14:textId="77777777" w:rsidR="00DE52EF" w:rsidRPr="000F63B2" w:rsidRDefault="00DE52EF" w:rsidP="00DE52EF">
            <w:pPr>
              <w:jc w:val="both"/>
              <w:rPr>
                <w:rFonts w:ascii="Arial" w:hAnsi="Arial" w:cs="Arial"/>
                <w:bCs/>
                <w:sz w:val="24"/>
                <w:szCs w:val="24"/>
              </w:rPr>
            </w:pPr>
          </w:p>
        </w:tc>
      </w:tr>
      <w:tr w:rsidR="00DE52EF" w:rsidRPr="000F63B2" w14:paraId="0666DE31" w14:textId="77777777" w:rsidTr="00F67674">
        <w:trPr>
          <w:trHeight w:val="475"/>
          <w:jc w:val="center"/>
        </w:trPr>
        <w:tc>
          <w:tcPr>
            <w:tcW w:w="3120" w:type="dxa"/>
          </w:tcPr>
          <w:p w14:paraId="3F36A690"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Si</w:t>
            </w:r>
          </w:p>
        </w:tc>
        <w:tc>
          <w:tcPr>
            <w:tcW w:w="3120" w:type="dxa"/>
          </w:tcPr>
          <w:p w14:paraId="2EA0AA8B"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11988</w:t>
            </w:r>
          </w:p>
        </w:tc>
        <w:tc>
          <w:tcPr>
            <w:tcW w:w="3120" w:type="dxa"/>
          </w:tcPr>
          <w:p w14:paraId="64BB743B"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43,3</w:t>
            </w:r>
          </w:p>
        </w:tc>
      </w:tr>
      <w:tr w:rsidR="00DE52EF" w:rsidRPr="000F63B2" w14:paraId="2A9BB3C2" w14:textId="77777777" w:rsidTr="00F67674">
        <w:trPr>
          <w:trHeight w:val="475"/>
          <w:jc w:val="center"/>
        </w:trPr>
        <w:tc>
          <w:tcPr>
            <w:tcW w:w="3120" w:type="dxa"/>
          </w:tcPr>
          <w:p w14:paraId="3366C0B6"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No</w:t>
            </w:r>
          </w:p>
        </w:tc>
        <w:tc>
          <w:tcPr>
            <w:tcW w:w="3120" w:type="dxa"/>
          </w:tcPr>
          <w:p w14:paraId="07FBE7D4"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15686</w:t>
            </w:r>
          </w:p>
        </w:tc>
        <w:tc>
          <w:tcPr>
            <w:tcW w:w="3120" w:type="dxa"/>
          </w:tcPr>
          <w:p w14:paraId="65F95E18"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56,7</w:t>
            </w:r>
          </w:p>
        </w:tc>
      </w:tr>
    </w:tbl>
    <w:p w14:paraId="324BE8AD" w14:textId="77777777" w:rsidR="00DE52EF" w:rsidRPr="000F63B2" w:rsidRDefault="00DE52EF" w:rsidP="00DE52EF">
      <w:pPr>
        <w:spacing w:after="0" w:line="240" w:lineRule="auto"/>
        <w:jc w:val="both"/>
        <w:rPr>
          <w:rFonts w:ascii="Arial" w:hAnsi="Arial" w:cs="Arial"/>
          <w:bCs/>
          <w:i/>
          <w:iCs/>
          <w:lang w:val="es-EC"/>
        </w:rPr>
      </w:pPr>
      <w:r w:rsidRPr="000F63B2">
        <w:rPr>
          <w:rFonts w:ascii="Arial" w:hAnsi="Arial" w:cs="Arial"/>
          <w:bCs/>
          <w:i/>
          <w:iCs/>
          <w:lang w:val="es-EC"/>
        </w:rPr>
        <w:t xml:space="preserve">Nota: este cuadro es la sumatoria de los siguientes autores que aplicaron encuestas online, </w:t>
      </w:r>
      <w:proofErr w:type="spellStart"/>
      <w:r w:rsidRPr="000F63B2">
        <w:rPr>
          <w:rFonts w:ascii="Arial" w:hAnsi="Arial" w:cs="Arial"/>
          <w:bCs/>
          <w:i/>
          <w:iCs/>
          <w:lang w:val="es-EC"/>
        </w:rPr>
        <w:t>Newby</w:t>
      </w:r>
      <w:proofErr w:type="spellEnd"/>
      <w:r w:rsidRPr="000F63B2">
        <w:rPr>
          <w:rFonts w:ascii="Arial" w:hAnsi="Arial" w:cs="Arial"/>
          <w:bCs/>
          <w:i/>
          <w:iCs/>
          <w:lang w:val="es-EC"/>
        </w:rPr>
        <w:t xml:space="preserve">, </w:t>
      </w:r>
      <w:proofErr w:type="spellStart"/>
      <w:r w:rsidRPr="000F63B2">
        <w:rPr>
          <w:rFonts w:ascii="Arial" w:hAnsi="Arial" w:cs="Arial"/>
          <w:bCs/>
          <w:i/>
          <w:iCs/>
          <w:lang w:val="es-EC"/>
        </w:rPr>
        <w:t>Krammer</w:t>
      </w:r>
      <w:proofErr w:type="spellEnd"/>
      <w:r w:rsidRPr="000F63B2">
        <w:rPr>
          <w:rFonts w:ascii="Arial" w:hAnsi="Arial" w:cs="Arial"/>
          <w:bCs/>
          <w:i/>
          <w:iCs/>
          <w:lang w:val="es-EC"/>
        </w:rPr>
        <w:t xml:space="preserve">, Neill, Lee, </w:t>
      </w:r>
      <w:proofErr w:type="spellStart"/>
      <w:r w:rsidRPr="000F63B2">
        <w:rPr>
          <w:rFonts w:ascii="Arial" w:hAnsi="Arial" w:cs="Arial"/>
          <w:bCs/>
          <w:i/>
          <w:iCs/>
          <w:lang w:val="es-EC"/>
        </w:rPr>
        <w:t>Staton</w:t>
      </w:r>
      <w:proofErr w:type="spellEnd"/>
      <w:r w:rsidRPr="000F63B2">
        <w:rPr>
          <w:rFonts w:ascii="Arial" w:hAnsi="Arial" w:cs="Arial"/>
          <w:bCs/>
          <w:i/>
          <w:iCs/>
          <w:lang w:val="es-EC"/>
        </w:rPr>
        <w:t>, Sidor, Wang, Rodríguez, Conejero, marzo a mayo, 2020</w:t>
      </w:r>
    </w:p>
    <w:p w14:paraId="252A0E77" w14:textId="77777777" w:rsidR="00DE52EF" w:rsidRPr="000F63B2" w:rsidRDefault="00DE52EF" w:rsidP="00DE52EF">
      <w:pPr>
        <w:spacing w:after="0" w:line="240" w:lineRule="auto"/>
        <w:jc w:val="both"/>
        <w:rPr>
          <w:rFonts w:ascii="Arial" w:hAnsi="Arial" w:cs="Arial"/>
          <w:bCs/>
          <w:i/>
          <w:iCs/>
          <w:lang w:val="es-EC"/>
        </w:rPr>
      </w:pPr>
    </w:p>
    <w:p w14:paraId="2B2EC764" w14:textId="3CD48860" w:rsidR="00DE52EF" w:rsidRPr="000F63B2" w:rsidRDefault="00DE52EF" w:rsidP="00BD6A65">
      <w:pPr>
        <w:spacing w:after="0" w:line="240" w:lineRule="auto"/>
        <w:jc w:val="center"/>
        <w:rPr>
          <w:rFonts w:ascii="Arial" w:hAnsi="Arial" w:cs="Arial"/>
          <w:b/>
          <w:i/>
          <w:iCs/>
          <w:lang w:val="es-EC"/>
        </w:rPr>
      </w:pPr>
      <w:r w:rsidRPr="000F63B2">
        <w:rPr>
          <w:rFonts w:ascii="Arial" w:hAnsi="Arial" w:cs="Arial"/>
          <w:b/>
          <w:i/>
          <w:iCs/>
          <w:lang w:val="es-EC"/>
        </w:rPr>
        <w:t>Tabla 4</w:t>
      </w:r>
      <w:r w:rsidR="00BD6A65" w:rsidRPr="000F63B2">
        <w:rPr>
          <w:rFonts w:ascii="Arial" w:hAnsi="Arial" w:cs="Arial"/>
          <w:b/>
          <w:i/>
          <w:iCs/>
          <w:lang w:val="es-EC"/>
        </w:rPr>
        <w:t>:</w:t>
      </w:r>
    </w:p>
    <w:p w14:paraId="3CA4146E" w14:textId="472D9013" w:rsidR="00DE52EF" w:rsidRPr="000F63B2" w:rsidRDefault="00DE52EF" w:rsidP="00BD6A65">
      <w:pPr>
        <w:spacing w:after="0" w:line="240" w:lineRule="auto"/>
        <w:jc w:val="center"/>
        <w:rPr>
          <w:rFonts w:ascii="Arial" w:hAnsi="Arial" w:cs="Arial"/>
          <w:bCs/>
          <w:i/>
          <w:iCs/>
          <w:lang w:val="es-EC"/>
        </w:rPr>
      </w:pPr>
      <w:r w:rsidRPr="000F63B2">
        <w:rPr>
          <w:rFonts w:ascii="Arial" w:hAnsi="Arial" w:cs="Arial"/>
          <w:bCs/>
          <w:i/>
          <w:iCs/>
          <w:lang w:val="es-EC"/>
        </w:rPr>
        <w:t>Datos de estrés según investigadores.</w:t>
      </w:r>
    </w:p>
    <w:tbl>
      <w:tblPr>
        <w:tblW w:w="8990" w:type="dxa"/>
        <w:jc w:val="center"/>
        <w:tblCellMar>
          <w:left w:w="70" w:type="dxa"/>
          <w:right w:w="70" w:type="dxa"/>
        </w:tblCellMar>
        <w:tblLook w:val="04A0" w:firstRow="1" w:lastRow="0" w:firstColumn="1" w:lastColumn="0" w:noHBand="0" w:noVBand="1"/>
      </w:tblPr>
      <w:tblGrid>
        <w:gridCol w:w="2436"/>
        <w:gridCol w:w="2151"/>
        <w:gridCol w:w="2180"/>
        <w:gridCol w:w="2223"/>
      </w:tblGrid>
      <w:tr w:rsidR="00DE52EF" w:rsidRPr="000F63B2" w14:paraId="5A45197A" w14:textId="77777777" w:rsidTr="00F67674">
        <w:trPr>
          <w:trHeight w:val="433"/>
          <w:jc w:val="center"/>
        </w:trPr>
        <w:tc>
          <w:tcPr>
            <w:tcW w:w="2436" w:type="dxa"/>
            <w:tcBorders>
              <w:top w:val="single" w:sz="4" w:space="0" w:color="auto"/>
              <w:left w:val="nil"/>
              <w:bottom w:val="single" w:sz="4" w:space="0" w:color="auto"/>
              <w:right w:val="nil"/>
            </w:tcBorders>
            <w:shd w:val="clear" w:color="auto" w:fill="auto"/>
            <w:hideMark/>
          </w:tcPr>
          <w:p w14:paraId="7DB09646"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 </w:t>
            </w:r>
          </w:p>
        </w:tc>
        <w:tc>
          <w:tcPr>
            <w:tcW w:w="2151" w:type="dxa"/>
            <w:tcBorders>
              <w:top w:val="single" w:sz="4" w:space="0" w:color="auto"/>
              <w:left w:val="nil"/>
              <w:bottom w:val="single" w:sz="4" w:space="0" w:color="auto"/>
              <w:right w:val="nil"/>
            </w:tcBorders>
            <w:shd w:val="clear" w:color="auto" w:fill="auto"/>
            <w:hideMark/>
          </w:tcPr>
          <w:p w14:paraId="7A820538"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Casos</w:t>
            </w:r>
          </w:p>
        </w:tc>
        <w:tc>
          <w:tcPr>
            <w:tcW w:w="2180" w:type="dxa"/>
            <w:tcBorders>
              <w:top w:val="single" w:sz="4" w:space="0" w:color="auto"/>
              <w:left w:val="nil"/>
              <w:bottom w:val="single" w:sz="4" w:space="0" w:color="auto"/>
              <w:right w:val="nil"/>
            </w:tcBorders>
            <w:shd w:val="clear" w:color="auto" w:fill="auto"/>
            <w:hideMark/>
          </w:tcPr>
          <w:p w14:paraId="690F370B"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C. Alcohol</w:t>
            </w:r>
          </w:p>
        </w:tc>
        <w:tc>
          <w:tcPr>
            <w:tcW w:w="2223" w:type="dxa"/>
            <w:tcBorders>
              <w:top w:val="single" w:sz="4" w:space="0" w:color="auto"/>
              <w:left w:val="nil"/>
              <w:bottom w:val="single" w:sz="4" w:space="0" w:color="auto"/>
              <w:right w:val="nil"/>
            </w:tcBorders>
            <w:shd w:val="clear" w:color="auto" w:fill="auto"/>
            <w:hideMark/>
          </w:tcPr>
          <w:p w14:paraId="07BF8B06"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Porcentaje</w:t>
            </w:r>
          </w:p>
        </w:tc>
      </w:tr>
      <w:tr w:rsidR="00DE52EF" w:rsidRPr="000F63B2" w14:paraId="340408A8" w14:textId="77777777" w:rsidTr="00F67674">
        <w:trPr>
          <w:trHeight w:val="312"/>
          <w:jc w:val="center"/>
        </w:trPr>
        <w:tc>
          <w:tcPr>
            <w:tcW w:w="2436" w:type="dxa"/>
            <w:tcBorders>
              <w:top w:val="nil"/>
              <w:left w:val="nil"/>
              <w:bottom w:val="nil"/>
              <w:right w:val="nil"/>
            </w:tcBorders>
            <w:shd w:val="clear" w:color="auto" w:fill="auto"/>
            <w:hideMark/>
          </w:tcPr>
          <w:p w14:paraId="27EF5548" w14:textId="77777777" w:rsidR="00DE52EF" w:rsidRPr="000F63B2" w:rsidRDefault="00DE52EF" w:rsidP="00DE52EF">
            <w:pPr>
              <w:spacing w:after="0" w:line="240" w:lineRule="auto"/>
              <w:jc w:val="both"/>
              <w:rPr>
                <w:rFonts w:ascii="Arial" w:hAnsi="Arial" w:cs="Arial"/>
                <w:bCs/>
                <w:sz w:val="24"/>
                <w:szCs w:val="24"/>
                <w:lang w:val="es-EC"/>
              </w:rPr>
            </w:pPr>
            <w:proofErr w:type="spellStart"/>
            <w:r w:rsidRPr="000F63B2">
              <w:rPr>
                <w:rFonts w:ascii="Arial" w:hAnsi="Arial" w:cs="Arial"/>
                <w:bCs/>
                <w:sz w:val="24"/>
                <w:szCs w:val="24"/>
                <w:lang w:val="es-EC"/>
              </w:rPr>
              <w:t>Newby</w:t>
            </w:r>
            <w:proofErr w:type="spellEnd"/>
          </w:p>
        </w:tc>
        <w:tc>
          <w:tcPr>
            <w:tcW w:w="2151" w:type="dxa"/>
            <w:tcBorders>
              <w:top w:val="nil"/>
              <w:left w:val="nil"/>
              <w:bottom w:val="nil"/>
              <w:right w:val="nil"/>
            </w:tcBorders>
            <w:shd w:val="clear" w:color="auto" w:fill="auto"/>
            <w:hideMark/>
          </w:tcPr>
          <w:p w14:paraId="23A77D94"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5070</w:t>
            </w:r>
          </w:p>
        </w:tc>
        <w:tc>
          <w:tcPr>
            <w:tcW w:w="2180" w:type="dxa"/>
            <w:tcBorders>
              <w:top w:val="nil"/>
              <w:left w:val="nil"/>
              <w:bottom w:val="nil"/>
              <w:right w:val="nil"/>
            </w:tcBorders>
            <w:shd w:val="clear" w:color="auto" w:fill="auto"/>
            <w:hideMark/>
          </w:tcPr>
          <w:p w14:paraId="6B89691C"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3955</w:t>
            </w:r>
          </w:p>
        </w:tc>
        <w:tc>
          <w:tcPr>
            <w:tcW w:w="2223" w:type="dxa"/>
            <w:tcBorders>
              <w:top w:val="nil"/>
              <w:left w:val="nil"/>
              <w:bottom w:val="nil"/>
              <w:right w:val="nil"/>
            </w:tcBorders>
            <w:shd w:val="clear" w:color="auto" w:fill="auto"/>
            <w:hideMark/>
          </w:tcPr>
          <w:p w14:paraId="119248EB"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78,01</w:t>
            </w:r>
          </w:p>
        </w:tc>
      </w:tr>
      <w:tr w:rsidR="00DE52EF" w:rsidRPr="000F63B2" w14:paraId="752338B2" w14:textId="77777777" w:rsidTr="00F67674">
        <w:trPr>
          <w:trHeight w:val="312"/>
          <w:jc w:val="center"/>
        </w:trPr>
        <w:tc>
          <w:tcPr>
            <w:tcW w:w="2436" w:type="dxa"/>
            <w:tcBorders>
              <w:top w:val="nil"/>
              <w:left w:val="nil"/>
              <w:bottom w:val="nil"/>
              <w:right w:val="nil"/>
            </w:tcBorders>
            <w:shd w:val="clear" w:color="auto" w:fill="auto"/>
            <w:hideMark/>
          </w:tcPr>
          <w:p w14:paraId="19CCF218" w14:textId="77777777" w:rsidR="00DE52EF" w:rsidRPr="000F63B2" w:rsidRDefault="00DE52EF" w:rsidP="00DE52EF">
            <w:pPr>
              <w:spacing w:after="0" w:line="240" w:lineRule="auto"/>
              <w:jc w:val="both"/>
              <w:rPr>
                <w:rFonts w:ascii="Arial" w:hAnsi="Arial" w:cs="Arial"/>
                <w:bCs/>
                <w:sz w:val="24"/>
                <w:szCs w:val="24"/>
                <w:lang w:val="es-EC"/>
              </w:rPr>
            </w:pPr>
            <w:proofErr w:type="spellStart"/>
            <w:r w:rsidRPr="000F63B2">
              <w:rPr>
                <w:rFonts w:ascii="Arial" w:hAnsi="Arial" w:cs="Arial"/>
                <w:bCs/>
                <w:sz w:val="24"/>
                <w:szCs w:val="24"/>
                <w:lang w:val="es-EC"/>
              </w:rPr>
              <w:t>Chodkiewicz</w:t>
            </w:r>
            <w:proofErr w:type="spellEnd"/>
          </w:p>
        </w:tc>
        <w:tc>
          <w:tcPr>
            <w:tcW w:w="2151" w:type="dxa"/>
            <w:tcBorders>
              <w:top w:val="nil"/>
              <w:left w:val="nil"/>
              <w:bottom w:val="nil"/>
              <w:right w:val="nil"/>
            </w:tcBorders>
            <w:shd w:val="clear" w:color="auto" w:fill="auto"/>
            <w:hideMark/>
          </w:tcPr>
          <w:p w14:paraId="66704D1F"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443</w:t>
            </w:r>
          </w:p>
        </w:tc>
        <w:tc>
          <w:tcPr>
            <w:tcW w:w="2180" w:type="dxa"/>
            <w:tcBorders>
              <w:top w:val="nil"/>
              <w:left w:val="nil"/>
              <w:bottom w:val="nil"/>
              <w:right w:val="nil"/>
            </w:tcBorders>
            <w:shd w:val="clear" w:color="auto" w:fill="auto"/>
            <w:hideMark/>
          </w:tcPr>
          <w:p w14:paraId="7D4B8642"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323</w:t>
            </w:r>
          </w:p>
        </w:tc>
        <w:tc>
          <w:tcPr>
            <w:tcW w:w="2223" w:type="dxa"/>
            <w:tcBorders>
              <w:top w:val="nil"/>
              <w:left w:val="nil"/>
              <w:bottom w:val="nil"/>
              <w:right w:val="nil"/>
            </w:tcBorders>
            <w:shd w:val="clear" w:color="auto" w:fill="auto"/>
            <w:hideMark/>
          </w:tcPr>
          <w:p w14:paraId="556A96AC"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72,91</w:t>
            </w:r>
          </w:p>
        </w:tc>
      </w:tr>
      <w:tr w:rsidR="00DE52EF" w:rsidRPr="000F63B2" w14:paraId="5BC29B64" w14:textId="77777777" w:rsidTr="00F67674">
        <w:trPr>
          <w:trHeight w:val="312"/>
          <w:jc w:val="center"/>
        </w:trPr>
        <w:tc>
          <w:tcPr>
            <w:tcW w:w="2436" w:type="dxa"/>
            <w:tcBorders>
              <w:top w:val="nil"/>
              <w:left w:val="nil"/>
              <w:bottom w:val="nil"/>
              <w:right w:val="nil"/>
            </w:tcBorders>
            <w:shd w:val="clear" w:color="auto" w:fill="auto"/>
            <w:hideMark/>
          </w:tcPr>
          <w:p w14:paraId="6342FA4D"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Neill</w:t>
            </w:r>
          </w:p>
        </w:tc>
        <w:tc>
          <w:tcPr>
            <w:tcW w:w="2151" w:type="dxa"/>
            <w:tcBorders>
              <w:top w:val="nil"/>
              <w:left w:val="nil"/>
              <w:bottom w:val="nil"/>
              <w:right w:val="nil"/>
            </w:tcBorders>
            <w:shd w:val="clear" w:color="auto" w:fill="auto"/>
            <w:hideMark/>
          </w:tcPr>
          <w:p w14:paraId="1B893CB5"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5158</w:t>
            </w:r>
          </w:p>
        </w:tc>
        <w:tc>
          <w:tcPr>
            <w:tcW w:w="2180" w:type="dxa"/>
            <w:tcBorders>
              <w:top w:val="nil"/>
              <w:left w:val="nil"/>
              <w:bottom w:val="nil"/>
              <w:right w:val="nil"/>
            </w:tcBorders>
            <w:shd w:val="clear" w:color="auto" w:fill="auto"/>
            <w:hideMark/>
          </w:tcPr>
          <w:p w14:paraId="7AEAB255"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3162</w:t>
            </w:r>
          </w:p>
        </w:tc>
        <w:tc>
          <w:tcPr>
            <w:tcW w:w="2223" w:type="dxa"/>
            <w:tcBorders>
              <w:top w:val="nil"/>
              <w:left w:val="nil"/>
              <w:bottom w:val="nil"/>
              <w:right w:val="nil"/>
            </w:tcBorders>
            <w:shd w:val="clear" w:color="auto" w:fill="auto"/>
            <w:hideMark/>
          </w:tcPr>
          <w:p w14:paraId="18C86B21"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61,30</w:t>
            </w:r>
          </w:p>
        </w:tc>
      </w:tr>
      <w:tr w:rsidR="00DE52EF" w:rsidRPr="000F63B2" w14:paraId="73DBB448" w14:textId="77777777" w:rsidTr="00F67674">
        <w:trPr>
          <w:trHeight w:val="312"/>
          <w:jc w:val="center"/>
        </w:trPr>
        <w:tc>
          <w:tcPr>
            <w:tcW w:w="2436" w:type="dxa"/>
            <w:tcBorders>
              <w:top w:val="nil"/>
              <w:left w:val="nil"/>
              <w:bottom w:val="nil"/>
              <w:right w:val="nil"/>
            </w:tcBorders>
            <w:shd w:val="clear" w:color="auto" w:fill="auto"/>
            <w:hideMark/>
          </w:tcPr>
          <w:p w14:paraId="53D03354"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Neill</w:t>
            </w:r>
          </w:p>
        </w:tc>
        <w:tc>
          <w:tcPr>
            <w:tcW w:w="2151" w:type="dxa"/>
            <w:tcBorders>
              <w:top w:val="nil"/>
              <w:left w:val="nil"/>
              <w:bottom w:val="nil"/>
              <w:right w:val="nil"/>
            </w:tcBorders>
            <w:shd w:val="clear" w:color="auto" w:fill="auto"/>
            <w:hideMark/>
          </w:tcPr>
          <w:p w14:paraId="754DFBD9"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5158</w:t>
            </w:r>
          </w:p>
        </w:tc>
        <w:tc>
          <w:tcPr>
            <w:tcW w:w="2180" w:type="dxa"/>
            <w:tcBorders>
              <w:top w:val="nil"/>
              <w:left w:val="nil"/>
              <w:bottom w:val="nil"/>
              <w:right w:val="nil"/>
            </w:tcBorders>
            <w:shd w:val="clear" w:color="auto" w:fill="auto"/>
            <w:hideMark/>
          </w:tcPr>
          <w:p w14:paraId="4BC3A7F8"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3162</w:t>
            </w:r>
          </w:p>
        </w:tc>
        <w:tc>
          <w:tcPr>
            <w:tcW w:w="2223" w:type="dxa"/>
            <w:tcBorders>
              <w:top w:val="nil"/>
              <w:left w:val="nil"/>
              <w:bottom w:val="nil"/>
              <w:right w:val="nil"/>
            </w:tcBorders>
            <w:shd w:val="clear" w:color="auto" w:fill="auto"/>
            <w:hideMark/>
          </w:tcPr>
          <w:p w14:paraId="2C0FC3EA"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61,30</w:t>
            </w:r>
          </w:p>
        </w:tc>
      </w:tr>
      <w:tr w:rsidR="00DE52EF" w:rsidRPr="000F63B2" w14:paraId="2FA6C90A" w14:textId="77777777" w:rsidTr="00F67674">
        <w:trPr>
          <w:trHeight w:val="312"/>
          <w:jc w:val="center"/>
        </w:trPr>
        <w:tc>
          <w:tcPr>
            <w:tcW w:w="2436" w:type="dxa"/>
            <w:tcBorders>
              <w:top w:val="nil"/>
              <w:left w:val="nil"/>
              <w:bottom w:val="nil"/>
              <w:right w:val="nil"/>
            </w:tcBorders>
            <w:shd w:val="clear" w:color="auto" w:fill="auto"/>
            <w:hideMark/>
          </w:tcPr>
          <w:p w14:paraId="4EA02AE9"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Lee</w:t>
            </w:r>
          </w:p>
        </w:tc>
        <w:tc>
          <w:tcPr>
            <w:tcW w:w="2151" w:type="dxa"/>
            <w:tcBorders>
              <w:top w:val="nil"/>
              <w:left w:val="nil"/>
              <w:bottom w:val="nil"/>
              <w:right w:val="nil"/>
            </w:tcBorders>
            <w:shd w:val="clear" w:color="auto" w:fill="auto"/>
            <w:hideMark/>
          </w:tcPr>
          <w:p w14:paraId="719B171D"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775</w:t>
            </w:r>
          </w:p>
        </w:tc>
        <w:tc>
          <w:tcPr>
            <w:tcW w:w="2180" w:type="dxa"/>
            <w:tcBorders>
              <w:top w:val="nil"/>
              <w:left w:val="nil"/>
              <w:bottom w:val="nil"/>
              <w:right w:val="nil"/>
            </w:tcBorders>
            <w:shd w:val="clear" w:color="auto" w:fill="auto"/>
            <w:hideMark/>
          </w:tcPr>
          <w:p w14:paraId="65D2B802"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566</w:t>
            </w:r>
          </w:p>
        </w:tc>
        <w:tc>
          <w:tcPr>
            <w:tcW w:w="2223" w:type="dxa"/>
            <w:tcBorders>
              <w:top w:val="nil"/>
              <w:left w:val="nil"/>
              <w:bottom w:val="nil"/>
              <w:right w:val="nil"/>
            </w:tcBorders>
            <w:shd w:val="clear" w:color="auto" w:fill="auto"/>
            <w:hideMark/>
          </w:tcPr>
          <w:p w14:paraId="5FEA03F5"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73,03</w:t>
            </w:r>
          </w:p>
        </w:tc>
      </w:tr>
      <w:tr w:rsidR="00DE52EF" w:rsidRPr="000F63B2" w14:paraId="13ADBF88" w14:textId="77777777" w:rsidTr="00F67674">
        <w:trPr>
          <w:trHeight w:val="312"/>
          <w:jc w:val="center"/>
        </w:trPr>
        <w:tc>
          <w:tcPr>
            <w:tcW w:w="2436" w:type="dxa"/>
            <w:tcBorders>
              <w:top w:val="nil"/>
              <w:left w:val="nil"/>
              <w:bottom w:val="nil"/>
              <w:right w:val="nil"/>
            </w:tcBorders>
            <w:shd w:val="clear" w:color="auto" w:fill="auto"/>
            <w:hideMark/>
          </w:tcPr>
          <w:p w14:paraId="2C7B41DA"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Stanton</w:t>
            </w:r>
          </w:p>
        </w:tc>
        <w:tc>
          <w:tcPr>
            <w:tcW w:w="2151" w:type="dxa"/>
            <w:tcBorders>
              <w:top w:val="nil"/>
              <w:left w:val="nil"/>
              <w:bottom w:val="nil"/>
              <w:right w:val="nil"/>
            </w:tcBorders>
            <w:shd w:val="clear" w:color="auto" w:fill="auto"/>
            <w:hideMark/>
          </w:tcPr>
          <w:p w14:paraId="0F9A0B09"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1491</w:t>
            </w:r>
          </w:p>
        </w:tc>
        <w:tc>
          <w:tcPr>
            <w:tcW w:w="2180" w:type="dxa"/>
            <w:tcBorders>
              <w:top w:val="nil"/>
              <w:left w:val="nil"/>
              <w:bottom w:val="nil"/>
              <w:right w:val="nil"/>
            </w:tcBorders>
            <w:shd w:val="clear" w:color="auto" w:fill="auto"/>
            <w:hideMark/>
          </w:tcPr>
          <w:p w14:paraId="23A60CA5"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397</w:t>
            </w:r>
          </w:p>
        </w:tc>
        <w:tc>
          <w:tcPr>
            <w:tcW w:w="2223" w:type="dxa"/>
            <w:tcBorders>
              <w:top w:val="nil"/>
              <w:left w:val="nil"/>
              <w:bottom w:val="nil"/>
              <w:right w:val="nil"/>
            </w:tcBorders>
            <w:shd w:val="clear" w:color="auto" w:fill="auto"/>
            <w:hideMark/>
          </w:tcPr>
          <w:p w14:paraId="343FEE82"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26,63</w:t>
            </w:r>
          </w:p>
        </w:tc>
      </w:tr>
      <w:tr w:rsidR="00DE52EF" w:rsidRPr="000F63B2" w14:paraId="7F6B3026" w14:textId="77777777" w:rsidTr="00F67674">
        <w:trPr>
          <w:trHeight w:val="312"/>
          <w:jc w:val="center"/>
        </w:trPr>
        <w:tc>
          <w:tcPr>
            <w:tcW w:w="2436" w:type="dxa"/>
            <w:tcBorders>
              <w:top w:val="nil"/>
              <w:left w:val="nil"/>
              <w:bottom w:val="nil"/>
              <w:right w:val="nil"/>
            </w:tcBorders>
            <w:shd w:val="clear" w:color="auto" w:fill="auto"/>
            <w:hideMark/>
          </w:tcPr>
          <w:p w14:paraId="0B9970C4"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Sidor</w:t>
            </w:r>
          </w:p>
        </w:tc>
        <w:tc>
          <w:tcPr>
            <w:tcW w:w="2151" w:type="dxa"/>
            <w:tcBorders>
              <w:top w:val="nil"/>
              <w:left w:val="nil"/>
              <w:bottom w:val="nil"/>
              <w:right w:val="nil"/>
            </w:tcBorders>
            <w:shd w:val="clear" w:color="auto" w:fill="auto"/>
            <w:hideMark/>
          </w:tcPr>
          <w:p w14:paraId="1887D710"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1097</w:t>
            </w:r>
          </w:p>
        </w:tc>
        <w:tc>
          <w:tcPr>
            <w:tcW w:w="2180" w:type="dxa"/>
            <w:tcBorders>
              <w:top w:val="nil"/>
              <w:left w:val="nil"/>
              <w:bottom w:val="nil"/>
              <w:right w:val="nil"/>
            </w:tcBorders>
            <w:shd w:val="clear" w:color="auto" w:fill="auto"/>
            <w:hideMark/>
          </w:tcPr>
          <w:p w14:paraId="2E523BB5"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160</w:t>
            </w:r>
          </w:p>
        </w:tc>
        <w:tc>
          <w:tcPr>
            <w:tcW w:w="2223" w:type="dxa"/>
            <w:tcBorders>
              <w:top w:val="nil"/>
              <w:left w:val="nil"/>
              <w:bottom w:val="nil"/>
              <w:right w:val="nil"/>
            </w:tcBorders>
            <w:shd w:val="clear" w:color="auto" w:fill="auto"/>
            <w:hideMark/>
          </w:tcPr>
          <w:p w14:paraId="23C95FC1"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14,59</w:t>
            </w:r>
          </w:p>
        </w:tc>
      </w:tr>
      <w:tr w:rsidR="00DE52EF" w:rsidRPr="000F63B2" w14:paraId="0E2D7D25" w14:textId="77777777" w:rsidTr="00F67674">
        <w:trPr>
          <w:trHeight w:val="312"/>
          <w:jc w:val="center"/>
        </w:trPr>
        <w:tc>
          <w:tcPr>
            <w:tcW w:w="2436" w:type="dxa"/>
            <w:tcBorders>
              <w:top w:val="nil"/>
              <w:left w:val="nil"/>
              <w:bottom w:val="nil"/>
              <w:right w:val="nil"/>
            </w:tcBorders>
            <w:shd w:val="clear" w:color="auto" w:fill="auto"/>
            <w:hideMark/>
          </w:tcPr>
          <w:p w14:paraId="4E23151E"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Walker</w:t>
            </w:r>
          </w:p>
        </w:tc>
        <w:tc>
          <w:tcPr>
            <w:tcW w:w="2151" w:type="dxa"/>
            <w:tcBorders>
              <w:top w:val="nil"/>
              <w:left w:val="nil"/>
              <w:bottom w:val="nil"/>
              <w:right w:val="nil"/>
            </w:tcBorders>
            <w:shd w:val="clear" w:color="auto" w:fill="auto"/>
            <w:hideMark/>
          </w:tcPr>
          <w:p w14:paraId="32EE0EB8"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1555</w:t>
            </w:r>
          </w:p>
        </w:tc>
        <w:tc>
          <w:tcPr>
            <w:tcW w:w="2180" w:type="dxa"/>
            <w:tcBorders>
              <w:top w:val="nil"/>
              <w:left w:val="nil"/>
              <w:bottom w:val="nil"/>
              <w:right w:val="nil"/>
            </w:tcBorders>
            <w:shd w:val="clear" w:color="auto" w:fill="auto"/>
            <w:hideMark/>
          </w:tcPr>
          <w:p w14:paraId="71B7751E"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233</w:t>
            </w:r>
          </w:p>
        </w:tc>
        <w:tc>
          <w:tcPr>
            <w:tcW w:w="2223" w:type="dxa"/>
            <w:tcBorders>
              <w:top w:val="nil"/>
              <w:left w:val="nil"/>
              <w:bottom w:val="nil"/>
              <w:right w:val="nil"/>
            </w:tcBorders>
            <w:shd w:val="clear" w:color="auto" w:fill="auto"/>
            <w:hideMark/>
          </w:tcPr>
          <w:p w14:paraId="2614FCA8"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14,98</w:t>
            </w:r>
          </w:p>
        </w:tc>
      </w:tr>
      <w:tr w:rsidR="00DE52EF" w:rsidRPr="000F63B2" w14:paraId="67955EE2" w14:textId="77777777" w:rsidTr="00F67674">
        <w:trPr>
          <w:trHeight w:val="312"/>
          <w:jc w:val="center"/>
        </w:trPr>
        <w:tc>
          <w:tcPr>
            <w:tcW w:w="2436" w:type="dxa"/>
            <w:tcBorders>
              <w:top w:val="nil"/>
              <w:left w:val="nil"/>
              <w:bottom w:val="nil"/>
              <w:right w:val="nil"/>
            </w:tcBorders>
            <w:shd w:val="clear" w:color="auto" w:fill="auto"/>
            <w:hideMark/>
          </w:tcPr>
          <w:p w14:paraId="0226AC31"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Rodríguez</w:t>
            </w:r>
          </w:p>
        </w:tc>
        <w:tc>
          <w:tcPr>
            <w:tcW w:w="2151" w:type="dxa"/>
            <w:tcBorders>
              <w:top w:val="nil"/>
              <w:left w:val="nil"/>
              <w:bottom w:val="nil"/>
              <w:right w:val="nil"/>
            </w:tcBorders>
            <w:shd w:val="clear" w:color="auto" w:fill="auto"/>
            <w:hideMark/>
          </w:tcPr>
          <w:p w14:paraId="20A88CAC"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774</w:t>
            </w:r>
          </w:p>
        </w:tc>
        <w:tc>
          <w:tcPr>
            <w:tcW w:w="2180" w:type="dxa"/>
            <w:tcBorders>
              <w:top w:val="nil"/>
              <w:left w:val="nil"/>
              <w:bottom w:val="nil"/>
              <w:right w:val="nil"/>
            </w:tcBorders>
            <w:shd w:val="clear" w:color="auto" w:fill="auto"/>
            <w:hideMark/>
          </w:tcPr>
          <w:p w14:paraId="7D297727"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387</w:t>
            </w:r>
          </w:p>
        </w:tc>
        <w:tc>
          <w:tcPr>
            <w:tcW w:w="2223" w:type="dxa"/>
            <w:tcBorders>
              <w:top w:val="nil"/>
              <w:left w:val="nil"/>
              <w:bottom w:val="nil"/>
              <w:right w:val="nil"/>
            </w:tcBorders>
            <w:shd w:val="clear" w:color="auto" w:fill="auto"/>
            <w:hideMark/>
          </w:tcPr>
          <w:p w14:paraId="3ACD0DC0"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50,00</w:t>
            </w:r>
          </w:p>
        </w:tc>
      </w:tr>
      <w:tr w:rsidR="00DE52EF" w:rsidRPr="000F63B2" w14:paraId="3EDDD0F0" w14:textId="77777777" w:rsidTr="00F67674">
        <w:trPr>
          <w:trHeight w:val="312"/>
          <w:jc w:val="center"/>
        </w:trPr>
        <w:tc>
          <w:tcPr>
            <w:tcW w:w="2436" w:type="dxa"/>
            <w:tcBorders>
              <w:top w:val="nil"/>
              <w:left w:val="nil"/>
              <w:bottom w:val="single" w:sz="4" w:space="0" w:color="auto"/>
              <w:right w:val="nil"/>
            </w:tcBorders>
            <w:shd w:val="clear" w:color="auto" w:fill="auto"/>
            <w:hideMark/>
          </w:tcPr>
          <w:p w14:paraId="6865DFA9"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Rolland</w:t>
            </w:r>
          </w:p>
        </w:tc>
        <w:tc>
          <w:tcPr>
            <w:tcW w:w="2151" w:type="dxa"/>
            <w:tcBorders>
              <w:top w:val="nil"/>
              <w:left w:val="nil"/>
              <w:bottom w:val="single" w:sz="4" w:space="0" w:color="auto"/>
              <w:right w:val="nil"/>
            </w:tcBorders>
            <w:shd w:val="clear" w:color="auto" w:fill="auto"/>
            <w:hideMark/>
          </w:tcPr>
          <w:p w14:paraId="27425540"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11311</w:t>
            </w:r>
          </w:p>
        </w:tc>
        <w:tc>
          <w:tcPr>
            <w:tcW w:w="2180" w:type="dxa"/>
            <w:tcBorders>
              <w:top w:val="nil"/>
              <w:left w:val="nil"/>
              <w:bottom w:val="single" w:sz="4" w:space="0" w:color="auto"/>
              <w:right w:val="nil"/>
            </w:tcBorders>
            <w:shd w:val="clear" w:color="auto" w:fill="auto"/>
            <w:hideMark/>
          </w:tcPr>
          <w:p w14:paraId="36CD3F95"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2805</w:t>
            </w:r>
          </w:p>
        </w:tc>
        <w:tc>
          <w:tcPr>
            <w:tcW w:w="2223" w:type="dxa"/>
            <w:tcBorders>
              <w:top w:val="nil"/>
              <w:left w:val="nil"/>
              <w:bottom w:val="single" w:sz="4" w:space="0" w:color="auto"/>
              <w:right w:val="nil"/>
            </w:tcBorders>
            <w:shd w:val="clear" w:color="auto" w:fill="auto"/>
            <w:hideMark/>
          </w:tcPr>
          <w:p w14:paraId="7B0D0DF8" w14:textId="77777777"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24,80</w:t>
            </w:r>
          </w:p>
        </w:tc>
      </w:tr>
    </w:tbl>
    <w:p w14:paraId="5EA56C1D" w14:textId="653A4369" w:rsidR="00DE52EF" w:rsidRPr="000F63B2" w:rsidRDefault="00DE52EF" w:rsidP="00DE52EF">
      <w:pPr>
        <w:spacing w:after="0" w:line="240" w:lineRule="auto"/>
        <w:jc w:val="both"/>
        <w:rPr>
          <w:rFonts w:ascii="Arial" w:hAnsi="Arial" w:cs="Arial"/>
          <w:bCs/>
          <w:i/>
          <w:iCs/>
          <w:lang w:val="es-EC"/>
        </w:rPr>
      </w:pPr>
      <w:r w:rsidRPr="000F63B2">
        <w:rPr>
          <w:rFonts w:ascii="Arial" w:hAnsi="Arial" w:cs="Arial"/>
          <w:bCs/>
          <w:i/>
          <w:iCs/>
          <w:lang w:val="es-EC"/>
        </w:rPr>
        <w:t xml:space="preserve">Nota: Este cuadro </w:t>
      </w:r>
      <w:r w:rsidR="00BD6A65" w:rsidRPr="000F63B2">
        <w:rPr>
          <w:rFonts w:ascii="Arial" w:hAnsi="Arial" w:cs="Arial"/>
          <w:bCs/>
          <w:i/>
          <w:iCs/>
          <w:lang w:val="es-EC"/>
        </w:rPr>
        <w:t>en relación con el</w:t>
      </w:r>
      <w:r w:rsidRPr="000F63B2">
        <w:rPr>
          <w:rFonts w:ascii="Arial" w:hAnsi="Arial" w:cs="Arial"/>
          <w:bCs/>
          <w:i/>
          <w:iCs/>
          <w:lang w:val="es-EC"/>
        </w:rPr>
        <w:t xml:space="preserve"> consumo de alcohol según muestras tomadas por los autores por medio de cuestionarios online. </w:t>
      </w:r>
      <w:proofErr w:type="spellStart"/>
      <w:r w:rsidRPr="000F63B2">
        <w:rPr>
          <w:rFonts w:ascii="Arial" w:hAnsi="Arial" w:cs="Arial"/>
          <w:bCs/>
          <w:i/>
          <w:iCs/>
          <w:lang w:val="es-EC"/>
        </w:rPr>
        <w:t>Newby</w:t>
      </w:r>
      <w:proofErr w:type="spellEnd"/>
      <w:r w:rsidRPr="000F63B2">
        <w:rPr>
          <w:rFonts w:ascii="Arial" w:hAnsi="Arial" w:cs="Arial"/>
          <w:bCs/>
          <w:i/>
          <w:iCs/>
          <w:lang w:val="es-EC"/>
        </w:rPr>
        <w:t xml:space="preserve">, </w:t>
      </w:r>
      <w:proofErr w:type="spellStart"/>
      <w:r w:rsidRPr="000F63B2">
        <w:rPr>
          <w:rFonts w:ascii="Arial" w:hAnsi="Arial" w:cs="Arial"/>
          <w:bCs/>
          <w:i/>
          <w:iCs/>
          <w:lang w:val="es-EC"/>
        </w:rPr>
        <w:t>Chodkiewicz</w:t>
      </w:r>
      <w:proofErr w:type="spellEnd"/>
      <w:r w:rsidRPr="000F63B2">
        <w:rPr>
          <w:rFonts w:ascii="Arial" w:hAnsi="Arial" w:cs="Arial"/>
          <w:bCs/>
          <w:i/>
          <w:iCs/>
          <w:lang w:val="es-EC"/>
        </w:rPr>
        <w:t xml:space="preserve">, Neil, Lee, </w:t>
      </w:r>
      <w:proofErr w:type="spellStart"/>
      <w:r w:rsidRPr="000F63B2">
        <w:rPr>
          <w:rFonts w:ascii="Arial" w:hAnsi="Arial" w:cs="Arial"/>
          <w:bCs/>
          <w:i/>
          <w:iCs/>
          <w:lang w:val="es-EC"/>
        </w:rPr>
        <w:t>Staton</w:t>
      </w:r>
      <w:proofErr w:type="spellEnd"/>
      <w:r w:rsidRPr="000F63B2">
        <w:rPr>
          <w:rFonts w:ascii="Arial" w:hAnsi="Arial" w:cs="Arial"/>
          <w:bCs/>
          <w:i/>
          <w:iCs/>
          <w:lang w:val="es-EC"/>
        </w:rPr>
        <w:t>, Sidor, Walker, Rodríguez, Rolland, marzo a mayo, 2020</w:t>
      </w:r>
      <w:r w:rsidR="00BD6A65" w:rsidRPr="000F63B2">
        <w:rPr>
          <w:rFonts w:ascii="Arial" w:hAnsi="Arial" w:cs="Arial"/>
          <w:bCs/>
          <w:i/>
          <w:iCs/>
          <w:lang w:val="es-EC"/>
        </w:rPr>
        <w:t>.</w:t>
      </w:r>
    </w:p>
    <w:p w14:paraId="4CF8918D" w14:textId="77777777" w:rsidR="006A07F4" w:rsidRPr="000F63B2" w:rsidRDefault="006A07F4" w:rsidP="006A07F4">
      <w:pPr>
        <w:spacing w:after="0" w:line="240" w:lineRule="auto"/>
        <w:jc w:val="both"/>
        <w:rPr>
          <w:rFonts w:ascii="Arial" w:hAnsi="Arial" w:cs="Arial"/>
          <w:bCs/>
          <w:sz w:val="24"/>
          <w:szCs w:val="24"/>
          <w:lang w:val="es-EC"/>
        </w:rPr>
      </w:pPr>
    </w:p>
    <w:p w14:paraId="063E1E31" w14:textId="752FFC8D" w:rsidR="00DE52EF" w:rsidRPr="000F63B2" w:rsidRDefault="00DE52EF" w:rsidP="006A07F4">
      <w:pPr>
        <w:spacing w:after="0" w:line="240" w:lineRule="auto"/>
        <w:jc w:val="both"/>
        <w:rPr>
          <w:rFonts w:ascii="Arial" w:hAnsi="Arial" w:cs="Arial"/>
          <w:bCs/>
          <w:sz w:val="24"/>
          <w:szCs w:val="24"/>
          <w:lang w:val="es-EC"/>
        </w:rPr>
      </w:pPr>
      <w:r w:rsidRPr="000F63B2">
        <w:rPr>
          <w:rFonts w:ascii="Arial" w:hAnsi="Arial" w:cs="Arial"/>
          <w:bCs/>
          <w:sz w:val="24"/>
          <w:szCs w:val="24"/>
          <w:lang w:val="es-EC"/>
        </w:rPr>
        <w:lastRenderedPageBreak/>
        <w:t xml:space="preserve">Se hallo diferencias al comparar los anteriores datos con la socialización del trabajo de Hernández y </w:t>
      </w:r>
      <w:proofErr w:type="spellStart"/>
      <w:r w:rsidRPr="000F63B2">
        <w:rPr>
          <w:rFonts w:ascii="Arial" w:hAnsi="Arial" w:cs="Arial"/>
          <w:bCs/>
          <w:sz w:val="24"/>
          <w:szCs w:val="24"/>
          <w:lang w:val="es-EC"/>
        </w:rPr>
        <w:t>Rojeab</w:t>
      </w:r>
      <w:proofErr w:type="spellEnd"/>
      <w:r w:rsidRPr="000F63B2">
        <w:rPr>
          <w:rFonts w:ascii="Arial" w:hAnsi="Arial" w:cs="Arial"/>
          <w:bCs/>
          <w:sz w:val="24"/>
          <w:szCs w:val="24"/>
          <w:lang w:val="es-EC"/>
        </w:rPr>
        <w:t xml:space="preserve"> (2020), titulado “Uso de drogas y confinamiento. Análisis de los efectos en el uso de drogas durante la pandemia por la COVID-19 en la ciudad de Quito-Ecuador”, cuyo objetivo fue analizar los cambios en los patrones de consumo de sustancias psicoactivas antes y después del confinamiento y su relación con los problemas psicosociales derivados de la pandemia, presentan como hallazgos importantes los siguientes: </w:t>
      </w:r>
    </w:p>
    <w:p w14:paraId="1818F6C0" w14:textId="77777777" w:rsidR="00DE52EF" w:rsidRPr="000F63B2" w:rsidRDefault="00DE52EF" w:rsidP="00BD6A65">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El uso de drogas lícitas e ilícitas disminuyó en el inició de la pandemia por falta de accesibilidad ya que el confinamiento era más estricto, y no se daban fiestas clandestinas. </w:t>
      </w:r>
    </w:p>
    <w:p w14:paraId="10BED907" w14:textId="77777777" w:rsidR="00DE52EF" w:rsidRPr="000F63B2" w:rsidRDefault="00DE52EF" w:rsidP="00BD6A65">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El 47% usó drogas ilícitas, el 20% no ha usado drogas (incluido el alcohol) desde el inicio de la pandemia. El 25% tuvo síntomas emocionales, después de un período de abstinencia. </w:t>
      </w:r>
    </w:p>
    <w:p w14:paraId="04989AA4" w14:textId="77777777" w:rsidR="00DE52EF" w:rsidRPr="000F63B2" w:rsidRDefault="00DE52EF" w:rsidP="00BD6A65">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En cuanto al consumo de alcohol, reportan que no sólo ha disminuido la cantidad sino también la frecuencia, antes de la pandemia era del 37%, ahora es del 18% en la opción de 2-3 veces al mes y en la opción de una vez al mes, aumento de 23% a 36% y en el ítem nunca aumento en 20 puntos porcentuales. El uso excesivo, bajo del 56% al 33% y en las mujeres del 20% al 51% de nunca haber consumido en exceso en la pandemia.</w:t>
      </w:r>
    </w:p>
    <w:p w14:paraId="6D7148C9" w14:textId="77777777" w:rsidR="00DE52EF" w:rsidRPr="000F63B2" w:rsidRDefault="00DE52EF" w:rsidP="00BD6A65">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El uso de drogas disminuyó de manera general, en el caso del alcohol en 26 puntos porcentuales de 87% a 61%, lo que coincide con los datos presentados a nivel internacional. </w:t>
      </w:r>
    </w:p>
    <w:p w14:paraId="280E8BE8" w14:textId="64B7179F" w:rsidR="00DE52EF" w:rsidRPr="000F63B2" w:rsidRDefault="00DE52EF" w:rsidP="00BD6A65">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Otro estudio que respalda los datos presentados es el de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{"citationID":"O2cZOPYH","properties":{"formattedCitation":"(Monteiro, Maristela, 2020)","plainCitation":"(Monteiro, Maristela, 2020)","dontUpdate":true,"noteIndex":0},"citationItems":[{"id":"cPSG7McT/QjAwpLks","uris":["http://zotero.org/users/local/JNgvcoZp/items/7C2LDKID"],"uri":["http://zotero.org/users/local/JNgvcoZp/items/7C2LDKID"],"itemData":{"id":751,"type":"motion_picture","abstract":"Maristela Monteiro, Asesora principal para alcohol, Organización Panamericana de la Salud (OPS)","dimensions":"1:31:40","publisher":"Prevalencia del consumo de Alcohol","source":"YouTube","title":"Resultados de la encuesta de OPS sobre consumo de alcohol y COVID-19 en la región","URL":"https://www.youtube.com/watch?v=V7fMjRXRZ0U&amp;t=1176s","author":[{"family":"Monteiro, Maristela","given":""}],"accessed":{"date-parts":[["2020",12,5]]},"issued":{"date-parts":[["2020",11,11]]}}}],"schema":"https://github.com/citation-style-language/schema/raw/master/csl-citation.json"}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Monteiro (2020)</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asesora principal para alcohol de la OMS, quien hace una comparación entre 2019 y 2020, con una muestra no probabilística de adultos jóvenes, con sobre representatividad de mujeres, buen nivel educacional, con trabajo y niveles de ganancia entre bajo y mediano-bajo, presenta entre los hallazgos más significativos que el 75.8% de los respondientes reportaron consumir alcohol en 2019 y 63.4% durante la pandemia, siendo que los hombres consumen 31,9%  y 24,8%  las mujeres, que hubo cambio de consumo para bebidas más fuertes; siendo que la más prevalente fue todavía, la cerveza; que los grupos con menor ganancia consumieron menos alcohol, pero tuvieron mayor prevalencia de emociones negativas frecuentes; y finalmente  que altos niveles de consumo episódico excesivo (CEE) reportados en los dos periodos de la encuesta, la gran mayoría de las personas no busca ayuda y una pequeña parte intenta reducir su consumo por cuenta propia.</w:t>
      </w:r>
    </w:p>
    <w:p w14:paraId="511A1374" w14:textId="77777777" w:rsidR="00DE52EF" w:rsidRPr="000F63B2" w:rsidRDefault="00DE52EF" w:rsidP="00BD6A65">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El consumo de alcohol al comienzo de la pandemia tuvo una correlación importante con la presencia de estrés, provocado por el desconocimiento de La COVID-19, de alta transmisión, y baja letalidad, que obliga a las autoridades sanitarias y de emergencia a tomar medidas extremas de bioseguridad y el confinamiento masivo.</w:t>
      </w:r>
    </w:p>
    <w:p w14:paraId="7069309D" w14:textId="77777777" w:rsidR="00DE52EF" w:rsidRPr="000F63B2" w:rsidRDefault="00DE52EF" w:rsidP="00BD6A65">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 En la tabla N°5 se presenta un comparativo entre estrés y consumo de alcohol a nivel mundial, este es un resumen de varios autores, tomando en cuenta la ocupación el sexo que permite afirmar que el estrés fue un factor desencadenante para el consumo de alcohol al inicio de la pandemia.</w:t>
      </w:r>
    </w:p>
    <w:p w14:paraId="2E220634" w14:textId="77777777" w:rsidR="00BD6A65" w:rsidRPr="000F63B2" w:rsidRDefault="00BD6A65" w:rsidP="00DE52EF">
      <w:pPr>
        <w:spacing w:after="0" w:line="240" w:lineRule="auto"/>
        <w:jc w:val="both"/>
        <w:rPr>
          <w:rFonts w:ascii="Arial" w:hAnsi="Arial" w:cs="Arial"/>
          <w:bCs/>
          <w:sz w:val="24"/>
          <w:szCs w:val="24"/>
          <w:lang w:val="es-EC"/>
        </w:rPr>
      </w:pPr>
    </w:p>
    <w:p w14:paraId="0E7AF152" w14:textId="4E4B5979" w:rsidR="00DE52EF" w:rsidRPr="000F63B2" w:rsidRDefault="00DE52EF" w:rsidP="00BD6A65">
      <w:pPr>
        <w:spacing w:after="0" w:line="240" w:lineRule="auto"/>
        <w:jc w:val="center"/>
        <w:rPr>
          <w:rFonts w:ascii="Arial" w:hAnsi="Arial" w:cs="Arial"/>
          <w:b/>
          <w:i/>
          <w:iCs/>
          <w:lang w:val="es-EC"/>
        </w:rPr>
      </w:pPr>
      <w:r w:rsidRPr="000F63B2">
        <w:rPr>
          <w:rFonts w:ascii="Arial" w:hAnsi="Arial" w:cs="Arial"/>
          <w:b/>
          <w:i/>
          <w:iCs/>
          <w:lang w:val="es-EC"/>
        </w:rPr>
        <w:t>Tabla 5</w:t>
      </w:r>
      <w:r w:rsidR="00BD6A65" w:rsidRPr="000F63B2">
        <w:rPr>
          <w:rFonts w:ascii="Arial" w:hAnsi="Arial" w:cs="Arial"/>
          <w:b/>
          <w:i/>
          <w:iCs/>
          <w:lang w:val="es-EC"/>
        </w:rPr>
        <w:t>:</w:t>
      </w:r>
    </w:p>
    <w:p w14:paraId="1D889B0D" w14:textId="77777777" w:rsidR="00DE52EF" w:rsidRPr="000F63B2" w:rsidRDefault="00DE52EF" w:rsidP="00BD6A65">
      <w:pPr>
        <w:spacing w:after="0" w:line="240" w:lineRule="auto"/>
        <w:jc w:val="center"/>
        <w:rPr>
          <w:rFonts w:ascii="Arial" w:hAnsi="Arial" w:cs="Arial"/>
          <w:bCs/>
          <w:i/>
          <w:iCs/>
          <w:lang w:val="es-EC"/>
        </w:rPr>
      </w:pPr>
      <w:r w:rsidRPr="000F63B2">
        <w:rPr>
          <w:rFonts w:ascii="Arial" w:hAnsi="Arial" w:cs="Arial"/>
          <w:bCs/>
          <w:i/>
          <w:iCs/>
          <w:lang w:val="es-EC"/>
        </w:rPr>
        <w:t>Comparativo estrés y consumo de alcohol a nivel mundial</w:t>
      </w:r>
    </w:p>
    <w:tbl>
      <w:tblPr>
        <w:tblStyle w:val="Tablaconcuadrcula"/>
        <w:tblW w:w="0" w:type="auto"/>
        <w:tblLook w:val="04A0" w:firstRow="1" w:lastRow="0" w:firstColumn="1" w:lastColumn="0" w:noHBand="0" w:noVBand="1"/>
      </w:tblPr>
      <w:tblGrid>
        <w:gridCol w:w="4106"/>
        <w:gridCol w:w="2693"/>
        <w:gridCol w:w="2261"/>
      </w:tblGrid>
      <w:tr w:rsidR="00DE52EF" w:rsidRPr="000F63B2" w14:paraId="43AAFEDE" w14:textId="77777777" w:rsidTr="00F67674">
        <w:tc>
          <w:tcPr>
            <w:tcW w:w="4106" w:type="dxa"/>
            <w:tcBorders>
              <w:top w:val="single" w:sz="4" w:space="0" w:color="auto"/>
              <w:left w:val="nil"/>
              <w:bottom w:val="single" w:sz="4" w:space="0" w:color="auto"/>
              <w:right w:val="nil"/>
            </w:tcBorders>
          </w:tcPr>
          <w:p w14:paraId="1CB10769" w14:textId="77777777" w:rsidR="00DE52EF" w:rsidRPr="000F63B2" w:rsidRDefault="00DE52EF" w:rsidP="00DE52EF">
            <w:pPr>
              <w:jc w:val="both"/>
              <w:rPr>
                <w:rFonts w:ascii="Arial" w:hAnsi="Arial" w:cs="Arial"/>
                <w:b/>
                <w:bCs/>
                <w:sz w:val="24"/>
                <w:szCs w:val="24"/>
              </w:rPr>
            </w:pPr>
            <w:r w:rsidRPr="000F63B2">
              <w:rPr>
                <w:rFonts w:ascii="Arial" w:hAnsi="Arial" w:cs="Arial"/>
                <w:b/>
                <w:bCs/>
                <w:sz w:val="24"/>
                <w:szCs w:val="24"/>
              </w:rPr>
              <w:t>Condición investigada</w:t>
            </w:r>
          </w:p>
        </w:tc>
        <w:tc>
          <w:tcPr>
            <w:tcW w:w="2693" w:type="dxa"/>
            <w:tcBorders>
              <w:top w:val="single" w:sz="4" w:space="0" w:color="auto"/>
              <w:left w:val="nil"/>
              <w:bottom w:val="single" w:sz="4" w:space="0" w:color="auto"/>
              <w:right w:val="nil"/>
            </w:tcBorders>
          </w:tcPr>
          <w:p w14:paraId="4E75F7C6" w14:textId="77777777" w:rsidR="00DE52EF" w:rsidRPr="000F63B2" w:rsidRDefault="00DE52EF" w:rsidP="00DE52EF">
            <w:pPr>
              <w:jc w:val="both"/>
              <w:rPr>
                <w:rFonts w:ascii="Arial" w:hAnsi="Arial" w:cs="Arial"/>
                <w:b/>
                <w:bCs/>
                <w:sz w:val="24"/>
                <w:szCs w:val="24"/>
              </w:rPr>
            </w:pPr>
            <w:r w:rsidRPr="000F63B2">
              <w:rPr>
                <w:rFonts w:ascii="Arial" w:hAnsi="Arial" w:cs="Arial"/>
                <w:b/>
                <w:bCs/>
                <w:sz w:val="24"/>
                <w:szCs w:val="24"/>
              </w:rPr>
              <w:t>Alcohol</w:t>
            </w:r>
          </w:p>
        </w:tc>
        <w:tc>
          <w:tcPr>
            <w:tcW w:w="2261" w:type="dxa"/>
            <w:tcBorders>
              <w:top w:val="single" w:sz="4" w:space="0" w:color="auto"/>
              <w:left w:val="nil"/>
              <w:bottom w:val="single" w:sz="4" w:space="0" w:color="auto"/>
              <w:right w:val="nil"/>
            </w:tcBorders>
          </w:tcPr>
          <w:p w14:paraId="1EAF3C5A" w14:textId="77777777" w:rsidR="00DE52EF" w:rsidRPr="000F63B2" w:rsidRDefault="00DE52EF" w:rsidP="00DE52EF">
            <w:pPr>
              <w:jc w:val="both"/>
              <w:rPr>
                <w:rFonts w:ascii="Arial" w:hAnsi="Arial" w:cs="Arial"/>
                <w:b/>
                <w:bCs/>
                <w:sz w:val="24"/>
                <w:szCs w:val="24"/>
              </w:rPr>
            </w:pPr>
            <w:r w:rsidRPr="000F63B2">
              <w:rPr>
                <w:rFonts w:ascii="Arial" w:hAnsi="Arial" w:cs="Arial"/>
                <w:b/>
                <w:bCs/>
                <w:sz w:val="24"/>
                <w:szCs w:val="24"/>
              </w:rPr>
              <w:t xml:space="preserve">Estrés </w:t>
            </w:r>
          </w:p>
        </w:tc>
      </w:tr>
      <w:tr w:rsidR="00DE52EF" w:rsidRPr="000F63B2" w14:paraId="54802BE7" w14:textId="77777777" w:rsidTr="00F67674">
        <w:tc>
          <w:tcPr>
            <w:tcW w:w="4106" w:type="dxa"/>
            <w:tcBorders>
              <w:top w:val="single" w:sz="4" w:space="0" w:color="auto"/>
              <w:left w:val="nil"/>
              <w:bottom w:val="nil"/>
              <w:right w:val="nil"/>
            </w:tcBorders>
          </w:tcPr>
          <w:p w14:paraId="12007101"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lastRenderedPageBreak/>
              <w:t xml:space="preserve">Población general </w:t>
            </w:r>
          </w:p>
        </w:tc>
        <w:tc>
          <w:tcPr>
            <w:tcW w:w="2693" w:type="dxa"/>
            <w:tcBorders>
              <w:top w:val="single" w:sz="4" w:space="0" w:color="auto"/>
              <w:left w:val="nil"/>
              <w:bottom w:val="nil"/>
              <w:right w:val="nil"/>
            </w:tcBorders>
          </w:tcPr>
          <w:p w14:paraId="35FBEB7C"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14,6% a 26,6%</w:t>
            </w:r>
          </w:p>
        </w:tc>
        <w:tc>
          <w:tcPr>
            <w:tcW w:w="2261" w:type="dxa"/>
            <w:tcBorders>
              <w:top w:val="single" w:sz="4" w:space="0" w:color="auto"/>
              <w:left w:val="nil"/>
              <w:bottom w:val="nil"/>
              <w:right w:val="nil"/>
            </w:tcBorders>
          </w:tcPr>
          <w:p w14:paraId="1C85CFC3"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del 23,1% al 41%</w:t>
            </w:r>
          </w:p>
        </w:tc>
      </w:tr>
      <w:tr w:rsidR="00DE52EF" w:rsidRPr="000F63B2" w14:paraId="2DB4CCD2" w14:textId="77777777" w:rsidTr="00F67674">
        <w:tc>
          <w:tcPr>
            <w:tcW w:w="4106" w:type="dxa"/>
            <w:tcBorders>
              <w:top w:val="nil"/>
              <w:left w:val="nil"/>
              <w:bottom w:val="nil"/>
              <w:right w:val="nil"/>
            </w:tcBorders>
          </w:tcPr>
          <w:p w14:paraId="5421225F"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Policías</w:t>
            </w:r>
          </w:p>
        </w:tc>
        <w:tc>
          <w:tcPr>
            <w:tcW w:w="2693" w:type="dxa"/>
            <w:tcBorders>
              <w:top w:val="nil"/>
              <w:left w:val="nil"/>
              <w:bottom w:val="nil"/>
              <w:right w:val="nil"/>
            </w:tcBorders>
          </w:tcPr>
          <w:p w14:paraId="16306E1B"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32,4%</w:t>
            </w:r>
          </w:p>
        </w:tc>
        <w:tc>
          <w:tcPr>
            <w:tcW w:w="2261" w:type="dxa"/>
            <w:tcBorders>
              <w:top w:val="nil"/>
              <w:left w:val="nil"/>
              <w:bottom w:val="nil"/>
              <w:right w:val="nil"/>
            </w:tcBorders>
          </w:tcPr>
          <w:p w14:paraId="5AFCC23F"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18,7%</w:t>
            </w:r>
          </w:p>
        </w:tc>
      </w:tr>
      <w:tr w:rsidR="00DE52EF" w:rsidRPr="000F63B2" w14:paraId="5C2A9C66" w14:textId="77777777" w:rsidTr="00F67674">
        <w:tc>
          <w:tcPr>
            <w:tcW w:w="4106" w:type="dxa"/>
            <w:tcBorders>
              <w:top w:val="nil"/>
              <w:left w:val="nil"/>
              <w:bottom w:val="nil"/>
              <w:right w:val="nil"/>
            </w:tcBorders>
          </w:tcPr>
          <w:p w14:paraId="0C225747"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Personal de salud</w:t>
            </w:r>
          </w:p>
        </w:tc>
        <w:tc>
          <w:tcPr>
            <w:tcW w:w="2693" w:type="dxa"/>
            <w:tcBorders>
              <w:top w:val="nil"/>
              <w:left w:val="nil"/>
              <w:bottom w:val="nil"/>
              <w:right w:val="nil"/>
            </w:tcBorders>
          </w:tcPr>
          <w:p w14:paraId="1C7B011B"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23%</w:t>
            </w:r>
          </w:p>
        </w:tc>
        <w:tc>
          <w:tcPr>
            <w:tcW w:w="2261" w:type="dxa"/>
            <w:tcBorders>
              <w:top w:val="nil"/>
              <w:left w:val="nil"/>
              <w:bottom w:val="nil"/>
              <w:right w:val="nil"/>
            </w:tcBorders>
          </w:tcPr>
          <w:p w14:paraId="35E63922"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45%</w:t>
            </w:r>
          </w:p>
        </w:tc>
      </w:tr>
      <w:tr w:rsidR="00DE52EF" w:rsidRPr="000F63B2" w14:paraId="64925F90" w14:textId="77777777" w:rsidTr="00F67674">
        <w:tc>
          <w:tcPr>
            <w:tcW w:w="4106" w:type="dxa"/>
            <w:tcBorders>
              <w:top w:val="nil"/>
              <w:left w:val="nil"/>
              <w:bottom w:val="nil"/>
              <w:right w:val="nil"/>
            </w:tcBorders>
          </w:tcPr>
          <w:p w14:paraId="69BEE718"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 xml:space="preserve">Indígenas </w:t>
            </w:r>
          </w:p>
        </w:tc>
        <w:tc>
          <w:tcPr>
            <w:tcW w:w="2693" w:type="dxa"/>
            <w:tcBorders>
              <w:top w:val="nil"/>
              <w:left w:val="nil"/>
              <w:bottom w:val="nil"/>
              <w:right w:val="nil"/>
            </w:tcBorders>
          </w:tcPr>
          <w:p w14:paraId="5BB46F17"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55,4%</w:t>
            </w:r>
          </w:p>
        </w:tc>
        <w:tc>
          <w:tcPr>
            <w:tcW w:w="2261" w:type="dxa"/>
            <w:tcBorders>
              <w:top w:val="nil"/>
              <w:left w:val="nil"/>
              <w:bottom w:val="nil"/>
              <w:right w:val="nil"/>
            </w:tcBorders>
          </w:tcPr>
          <w:p w14:paraId="3416AA5C"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53,1%</w:t>
            </w:r>
          </w:p>
        </w:tc>
      </w:tr>
      <w:tr w:rsidR="00DE52EF" w:rsidRPr="000F63B2" w14:paraId="3CB6FF5B" w14:textId="77777777" w:rsidTr="00F67674">
        <w:tc>
          <w:tcPr>
            <w:tcW w:w="4106" w:type="dxa"/>
            <w:tcBorders>
              <w:top w:val="nil"/>
              <w:left w:val="nil"/>
              <w:bottom w:val="nil"/>
              <w:right w:val="nil"/>
            </w:tcBorders>
          </w:tcPr>
          <w:p w14:paraId="5E6916D7"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Mujeres</w:t>
            </w:r>
          </w:p>
        </w:tc>
        <w:tc>
          <w:tcPr>
            <w:tcW w:w="2693" w:type="dxa"/>
            <w:tcBorders>
              <w:top w:val="nil"/>
              <w:left w:val="nil"/>
              <w:bottom w:val="nil"/>
              <w:right w:val="nil"/>
            </w:tcBorders>
          </w:tcPr>
          <w:p w14:paraId="009E15CB"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50 %</w:t>
            </w:r>
          </w:p>
        </w:tc>
        <w:tc>
          <w:tcPr>
            <w:tcW w:w="2261" w:type="dxa"/>
            <w:tcBorders>
              <w:top w:val="nil"/>
              <w:left w:val="nil"/>
              <w:bottom w:val="nil"/>
              <w:right w:val="nil"/>
            </w:tcBorders>
          </w:tcPr>
          <w:p w14:paraId="4BB6BE80"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65 %</w:t>
            </w:r>
          </w:p>
        </w:tc>
      </w:tr>
      <w:tr w:rsidR="00DE52EF" w:rsidRPr="000F63B2" w14:paraId="41DFB1F3" w14:textId="77777777" w:rsidTr="00F67674">
        <w:tc>
          <w:tcPr>
            <w:tcW w:w="4106" w:type="dxa"/>
            <w:tcBorders>
              <w:top w:val="nil"/>
              <w:left w:val="nil"/>
              <w:bottom w:val="nil"/>
              <w:right w:val="nil"/>
            </w:tcBorders>
          </w:tcPr>
          <w:p w14:paraId="536F169B"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Hombres</w:t>
            </w:r>
          </w:p>
        </w:tc>
        <w:tc>
          <w:tcPr>
            <w:tcW w:w="2693" w:type="dxa"/>
            <w:tcBorders>
              <w:top w:val="nil"/>
              <w:left w:val="nil"/>
              <w:bottom w:val="nil"/>
              <w:right w:val="nil"/>
            </w:tcBorders>
          </w:tcPr>
          <w:p w14:paraId="67C31C43"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52 %</w:t>
            </w:r>
          </w:p>
        </w:tc>
        <w:tc>
          <w:tcPr>
            <w:tcW w:w="2261" w:type="dxa"/>
            <w:tcBorders>
              <w:top w:val="nil"/>
              <w:left w:val="nil"/>
              <w:bottom w:val="nil"/>
              <w:right w:val="nil"/>
            </w:tcBorders>
          </w:tcPr>
          <w:p w14:paraId="43201C05"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45 %</w:t>
            </w:r>
          </w:p>
        </w:tc>
      </w:tr>
      <w:tr w:rsidR="00DE52EF" w:rsidRPr="000F63B2" w14:paraId="6A4E02CE" w14:textId="77777777" w:rsidTr="00F67674">
        <w:tc>
          <w:tcPr>
            <w:tcW w:w="4106" w:type="dxa"/>
            <w:tcBorders>
              <w:top w:val="nil"/>
              <w:left w:val="nil"/>
              <w:bottom w:val="nil"/>
              <w:right w:val="nil"/>
            </w:tcBorders>
          </w:tcPr>
          <w:p w14:paraId="3DBA91B7"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 xml:space="preserve">Mujeres embarazadas recluidas </w:t>
            </w:r>
          </w:p>
        </w:tc>
        <w:tc>
          <w:tcPr>
            <w:tcW w:w="2693" w:type="dxa"/>
            <w:tcBorders>
              <w:top w:val="nil"/>
              <w:left w:val="nil"/>
              <w:bottom w:val="nil"/>
              <w:right w:val="nil"/>
            </w:tcBorders>
          </w:tcPr>
          <w:p w14:paraId="3974FC89"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84%</w:t>
            </w:r>
          </w:p>
        </w:tc>
        <w:tc>
          <w:tcPr>
            <w:tcW w:w="2261" w:type="dxa"/>
            <w:tcBorders>
              <w:top w:val="nil"/>
              <w:left w:val="nil"/>
              <w:bottom w:val="nil"/>
              <w:right w:val="nil"/>
            </w:tcBorders>
          </w:tcPr>
          <w:p w14:paraId="5808F28D"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80%</w:t>
            </w:r>
          </w:p>
        </w:tc>
      </w:tr>
      <w:tr w:rsidR="00DE52EF" w:rsidRPr="000F63B2" w14:paraId="3283BE41" w14:textId="77777777" w:rsidTr="00F67674">
        <w:tc>
          <w:tcPr>
            <w:tcW w:w="4106" w:type="dxa"/>
            <w:tcBorders>
              <w:top w:val="nil"/>
              <w:left w:val="nil"/>
              <w:bottom w:val="nil"/>
              <w:right w:val="nil"/>
            </w:tcBorders>
          </w:tcPr>
          <w:p w14:paraId="4DCE9524"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Militares.</w:t>
            </w:r>
          </w:p>
        </w:tc>
        <w:tc>
          <w:tcPr>
            <w:tcW w:w="2693" w:type="dxa"/>
            <w:tcBorders>
              <w:top w:val="nil"/>
              <w:left w:val="nil"/>
              <w:bottom w:val="nil"/>
              <w:right w:val="nil"/>
            </w:tcBorders>
          </w:tcPr>
          <w:p w14:paraId="093C6D09"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26%</w:t>
            </w:r>
          </w:p>
        </w:tc>
        <w:tc>
          <w:tcPr>
            <w:tcW w:w="2261" w:type="dxa"/>
            <w:tcBorders>
              <w:top w:val="nil"/>
              <w:left w:val="nil"/>
              <w:bottom w:val="nil"/>
              <w:right w:val="nil"/>
            </w:tcBorders>
          </w:tcPr>
          <w:p w14:paraId="6E2F9569"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26%</w:t>
            </w:r>
          </w:p>
        </w:tc>
      </w:tr>
      <w:tr w:rsidR="00DE52EF" w:rsidRPr="000F63B2" w14:paraId="5CEDC83A" w14:textId="77777777" w:rsidTr="00F67674">
        <w:tc>
          <w:tcPr>
            <w:tcW w:w="4106" w:type="dxa"/>
            <w:tcBorders>
              <w:top w:val="nil"/>
              <w:left w:val="nil"/>
              <w:bottom w:val="nil"/>
              <w:right w:val="nil"/>
            </w:tcBorders>
          </w:tcPr>
          <w:p w14:paraId="032686AE"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Militares con discapacidad</w:t>
            </w:r>
          </w:p>
        </w:tc>
        <w:tc>
          <w:tcPr>
            <w:tcW w:w="2693" w:type="dxa"/>
            <w:tcBorders>
              <w:top w:val="nil"/>
              <w:left w:val="nil"/>
              <w:bottom w:val="nil"/>
              <w:right w:val="nil"/>
            </w:tcBorders>
          </w:tcPr>
          <w:p w14:paraId="78096420"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36%</w:t>
            </w:r>
          </w:p>
        </w:tc>
        <w:tc>
          <w:tcPr>
            <w:tcW w:w="2261" w:type="dxa"/>
            <w:tcBorders>
              <w:top w:val="nil"/>
              <w:left w:val="nil"/>
              <w:bottom w:val="nil"/>
              <w:right w:val="nil"/>
            </w:tcBorders>
          </w:tcPr>
          <w:p w14:paraId="1B531232"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26%</w:t>
            </w:r>
          </w:p>
        </w:tc>
      </w:tr>
      <w:tr w:rsidR="00DE52EF" w:rsidRPr="000F63B2" w14:paraId="24F6D195" w14:textId="77777777" w:rsidTr="00F67674">
        <w:tc>
          <w:tcPr>
            <w:tcW w:w="4106" w:type="dxa"/>
            <w:tcBorders>
              <w:top w:val="nil"/>
              <w:left w:val="nil"/>
              <w:bottom w:val="single" w:sz="4" w:space="0" w:color="auto"/>
              <w:right w:val="nil"/>
            </w:tcBorders>
          </w:tcPr>
          <w:p w14:paraId="29273E86"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 xml:space="preserve">Personas con discapacidad </w:t>
            </w:r>
          </w:p>
        </w:tc>
        <w:tc>
          <w:tcPr>
            <w:tcW w:w="2693" w:type="dxa"/>
            <w:tcBorders>
              <w:top w:val="nil"/>
              <w:left w:val="nil"/>
              <w:bottom w:val="single" w:sz="4" w:space="0" w:color="auto"/>
              <w:right w:val="nil"/>
            </w:tcBorders>
          </w:tcPr>
          <w:p w14:paraId="61967245"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26%</w:t>
            </w:r>
          </w:p>
        </w:tc>
        <w:tc>
          <w:tcPr>
            <w:tcW w:w="2261" w:type="dxa"/>
            <w:tcBorders>
              <w:top w:val="nil"/>
              <w:left w:val="nil"/>
              <w:bottom w:val="single" w:sz="4" w:space="0" w:color="auto"/>
              <w:right w:val="nil"/>
            </w:tcBorders>
          </w:tcPr>
          <w:p w14:paraId="63AAA7DE" w14:textId="77777777" w:rsidR="00DE52EF" w:rsidRPr="000F63B2" w:rsidRDefault="00DE52EF" w:rsidP="00DE52EF">
            <w:pPr>
              <w:jc w:val="both"/>
              <w:rPr>
                <w:rFonts w:ascii="Arial" w:hAnsi="Arial" w:cs="Arial"/>
                <w:bCs/>
                <w:sz w:val="24"/>
                <w:szCs w:val="24"/>
              </w:rPr>
            </w:pPr>
            <w:r w:rsidRPr="000F63B2">
              <w:rPr>
                <w:rFonts w:ascii="Arial" w:hAnsi="Arial" w:cs="Arial"/>
                <w:bCs/>
                <w:sz w:val="24"/>
                <w:szCs w:val="24"/>
              </w:rPr>
              <w:t>26%</w:t>
            </w:r>
          </w:p>
        </w:tc>
      </w:tr>
    </w:tbl>
    <w:p w14:paraId="2BD3041E" w14:textId="222D788C" w:rsidR="00DE52EF" w:rsidRPr="000F63B2" w:rsidRDefault="00DE52EF" w:rsidP="00DE52EF">
      <w:pPr>
        <w:spacing w:after="0" w:line="240" w:lineRule="auto"/>
        <w:jc w:val="both"/>
        <w:rPr>
          <w:rFonts w:ascii="Arial" w:hAnsi="Arial" w:cs="Arial"/>
          <w:bCs/>
          <w:i/>
          <w:iCs/>
          <w:lang w:val="es-EC"/>
        </w:rPr>
      </w:pPr>
      <w:r w:rsidRPr="000F63B2">
        <w:rPr>
          <w:rFonts w:ascii="Arial" w:hAnsi="Arial" w:cs="Arial"/>
          <w:b/>
          <w:i/>
          <w:iCs/>
          <w:lang w:val="es-EC"/>
        </w:rPr>
        <w:t>Nota:</w:t>
      </w:r>
      <w:r w:rsidRPr="000F63B2">
        <w:rPr>
          <w:rFonts w:ascii="Arial" w:hAnsi="Arial" w:cs="Arial"/>
          <w:bCs/>
          <w:i/>
          <w:iCs/>
          <w:lang w:val="es-EC"/>
        </w:rPr>
        <w:t xml:space="preserve"> Este cuadro </w:t>
      </w:r>
      <w:r w:rsidR="00BD6A65" w:rsidRPr="000F63B2">
        <w:rPr>
          <w:rFonts w:ascii="Arial" w:hAnsi="Arial" w:cs="Arial"/>
          <w:bCs/>
          <w:i/>
          <w:iCs/>
          <w:lang w:val="es-EC"/>
        </w:rPr>
        <w:t>en relación con el</w:t>
      </w:r>
      <w:r w:rsidRPr="000F63B2">
        <w:rPr>
          <w:rFonts w:ascii="Arial" w:hAnsi="Arial" w:cs="Arial"/>
          <w:bCs/>
          <w:i/>
          <w:iCs/>
          <w:lang w:val="es-EC"/>
        </w:rPr>
        <w:t xml:space="preserve"> consumo de alcohol según muestras tomadas por los autores por medio de cuestionarios online </w:t>
      </w:r>
      <w:proofErr w:type="spellStart"/>
      <w:r w:rsidRPr="000F63B2">
        <w:rPr>
          <w:rFonts w:ascii="Arial" w:hAnsi="Arial" w:cs="Arial"/>
          <w:bCs/>
          <w:i/>
          <w:iCs/>
          <w:lang w:val="es-EC"/>
        </w:rPr>
        <w:t>Newby</w:t>
      </w:r>
      <w:proofErr w:type="spellEnd"/>
      <w:r w:rsidRPr="000F63B2">
        <w:rPr>
          <w:rFonts w:ascii="Arial" w:hAnsi="Arial" w:cs="Arial"/>
          <w:bCs/>
          <w:i/>
          <w:iCs/>
          <w:lang w:val="es-EC"/>
        </w:rPr>
        <w:t xml:space="preserve">, </w:t>
      </w:r>
      <w:proofErr w:type="spellStart"/>
      <w:r w:rsidRPr="000F63B2">
        <w:rPr>
          <w:rFonts w:ascii="Arial" w:hAnsi="Arial" w:cs="Arial"/>
          <w:bCs/>
          <w:i/>
          <w:iCs/>
          <w:lang w:val="es-EC"/>
        </w:rPr>
        <w:t>Chodkiewicz</w:t>
      </w:r>
      <w:proofErr w:type="spellEnd"/>
      <w:r w:rsidRPr="000F63B2">
        <w:rPr>
          <w:rFonts w:ascii="Arial" w:hAnsi="Arial" w:cs="Arial"/>
          <w:bCs/>
          <w:i/>
          <w:iCs/>
          <w:lang w:val="es-EC"/>
        </w:rPr>
        <w:t xml:space="preserve">, Neil, Lee, </w:t>
      </w:r>
      <w:proofErr w:type="spellStart"/>
      <w:r w:rsidRPr="000F63B2">
        <w:rPr>
          <w:rFonts w:ascii="Arial" w:hAnsi="Arial" w:cs="Arial"/>
          <w:bCs/>
          <w:i/>
          <w:iCs/>
          <w:lang w:val="es-EC"/>
        </w:rPr>
        <w:t>Staton</w:t>
      </w:r>
      <w:proofErr w:type="spellEnd"/>
      <w:r w:rsidRPr="000F63B2">
        <w:rPr>
          <w:rFonts w:ascii="Arial" w:hAnsi="Arial" w:cs="Arial"/>
          <w:bCs/>
          <w:i/>
          <w:iCs/>
          <w:lang w:val="es-EC"/>
        </w:rPr>
        <w:t>, Sidor, Walker, Rodríguez, Rolland, febrero a junio, 2020.</w:t>
      </w:r>
    </w:p>
    <w:p w14:paraId="1A273209" w14:textId="77777777" w:rsidR="006A07F4" w:rsidRPr="000F63B2" w:rsidRDefault="006A07F4" w:rsidP="00DE52EF">
      <w:pPr>
        <w:spacing w:after="0" w:line="240" w:lineRule="auto"/>
        <w:jc w:val="both"/>
        <w:rPr>
          <w:rFonts w:ascii="Arial" w:hAnsi="Arial" w:cs="Arial"/>
          <w:bCs/>
          <w:sz w:val="24"/>
          <w:szCs w:val="24"/>
          <w:lang w:val="es-EC"/>
        </w:rPr>
      </w:pPr>
    </w:p>
    <w:p w14:paraId="22D707E2" w14:textId="54CB667A" w:rsidR="00BD6A65"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Cs/>
          <w:sz w:val="24"/>
          <w:szCs w:val="24"/>
          <w:lang w:val="es-EC"/>
        </w:rPr>
        <w:t>Cabe resaltar que los hombres son muy renuentes a responder encuestas por esto los datos más significativos, son de las mujeres. Hernández (2020)</w:t>
      </w:r>
      <w:r w:rsidRPr="000F63B2">
        <w:rPr>
          <w:rFonts w:ascii="Arial" w:hAnsi="Arial" w:cs="Arial"/>
          <w:b/>
          <w:bCs/>
          <w:sz w:val="24"/>
          <w:szCs w:val="24"/>
          <w:lang w:val="es-EC"/>
        </w:rPr>
        <w:t>.</w:t>
      </w:r>
      <w:r w:rsidR="00BD6A65" w:rsidRPr="000F63B2">
        <w:rPr>
          <w:rFonts w:ascii="Arial" w:hAnsi="Arial" w:cs="Arial"/>
          <w:bCs/>
          <w:sz w:val="24"/>
          <w:szCs w:val="24"/>
          <w:lang w:val="es-EC"/>
        </w:rPr>
        <w:t xml:space="preserve"> </w:t>
      </w:r>
      <w:r w:rsidRPr="000F63B2">
        <w:rPr>
          <w:rFonts w:ascii="Arial" w:hAnsi="Arial" w:cs="Arial"/>
          <w:bCs/>
          <w:sz w:val="24"/>
          <w:szCs w:val="24"/>
          <w:lang w:val="es-EC"/>
        </w:rPr>
        <w:t>Como se observa en la tabla hay una similitud entre el consumo de alcohol y la presencia de estrés, excepto en los policías que el consumo de alcohol es mayor, mientras que en el personal de salud ocurre lo contrario un nivel alto de estrés.</w:t>
      </w:r>
    </w:p>
    <w:p w14:paraId="3DEE4DC0" w14:textId="77777777" w:rsidR="00BD6A65" w:rsidRPr="000F63B2" w:rsidRDefault="00BD6A65" w:rsidP="00DE52EF">
      <w:pPr>
        <w:spacing w:after="0" w:line="240" w:lineRule="auto"/>
        <w:jc w:val="both"/>
        <w:rPr>
          <w:rFonts w:ascii="Arial" w:hAnsi="Arial" w:cs="Arial"/>
          <w:bCs/>
          <w:sz w:val="24"/>
          <w:szCs w:val="24"/>
          <w:lang w:val="es-EC"/>
        </w:rPr>
      </w:pPr>
    </w:p>
    <w:p w14:paraId="02545623" w14:textId="2E564052" w:rsidR="00DE52EF" w:rsidRPr="000F63B2" w:rsidRDefault="00DE52EF" w:rsidP="00DE52EF">
      <w:pPr>
        <w:spacing w:after="0" w:line="240" w:lineRule="auto"/>
        <w:jc w:val="both"/>
        <w:rPr>
          <w:rFonts w:ascii="Arial" w:hAnsi="Arial" w:cs="Arial"/>
          <w:bCs/>
          <w:sz w:val="24"/>
          <w:szCs w:val="24"/>
          <w:lang w:val="es-EC"/>
        </w:rPr>
      </w:pPr>
      <w:r w:rsidRPr="000F63B2">
        <w:rPr>
          <w:rFonts w:ascii="Arial" w:hAnsi="Arial" w:cs="Arial"/>
          <w:b/>
          <w:bCs/>
          <w:sz w:val="24"/>
          <w:szCs w:val="24"/>
          <w:lang w:val="es-EC"/>
        </w:rPr>
        <w:t xml:space="preserve">DISCUSIÓN </w:t>
      </w:r>
    </w:p>
    <w:p w14:paraId="275CDB36" w14:textId="77777777" w:rsidR="00BD6A65" w:rsidRPr="000F63B2" w:rsidRDefault="00BD6A65" w:rsidP="00DE52EF">
      <w:pPr>
        <w:spacing w:after="0" w:line="240" w:lineRule="auto"/>
        <w:jc w:val="both"/>
        <w:rPr>
          <w:rFonts w:ascii="Arial" w:hAnsi="Arial" w:cs="Arial"/>
          <w:b/>
          <w:bCs/>
          <w:sz w:val="24"/>
          <w:szCs w:val="24"/>
          <w:lang w:val="es-EC"/>
        </w:rPr>
      </w:pPr>
    </w:p>
    <w:p w14:paraId="4E8B778E" w14:textId="77777777" w:rsidR="00BD6A65" w:rsidRPr="000F63B2" w:rsidRDefault="00DE52EF" w:rsidP="00BD6A65">
      <w:pPr>
        <w:spacing w:after="0" w:line="240" w:lineRule="auto"/>
        <w:jc w:val="both"/>
        <w:rPr>
          <w:rFonts w:ascii="Arial" w:hAnsi="Arial" w:cs="Arial"/>
          <w:bCs/>
          <w:sz w:val="24"/>
          <w:szCs w:val="24"/>
          <w:lang w:val="es-EC"/>
        </w:rPr>
      </w:pPr>
      <w:r w:rsidRPr="000F63B2">
        <w:rPr>
          <w:rFonts w:ascii="Arial" w:hAnsi="Arial" w:cs="Arial"/>
          <w:bCs/>
          <w:sz w:val="24"/>
          <w:szCs w:val="24"/>
          <w:lang w:val="es-EC"/>
        </w:rPr>
        <w:t xml:space="preserve">Es verdad que se produjo un aumento de consumo de alcohol en las primeras semanas de confinamiento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{"citationID":"vXbjZDW0","properties":{"formattedCitation":"(Smith et\\uc0\\u160{}al., 2020)","plainCitation":"(Smith et al., 2020)","dontUpdate":true,"noteIndex":0},"citationItems":[{"id":"cPSG7McT/vPL5AEEL","uris":["http://zotero.org/users/local/HWFDfxM3/items/YTF26ELR"],"uri":["http://zotero.org/users/local/HWFDfxM3/items/YTF26ELR"],"itemData":{"id":153,"type":"article-journal","abstract":"Background: The aim was to assess the impact of COVID-19 self-isolation/social distancing on mental health, and potential correlates, among a sample of the UK population. Methods: A cross-sectional study. Mental health was measured using the Beck Anxiety and Depression Inventory. Mental wellbeing was measured using The Short Warwick-Edinburgh Mental Well-being Scale. Data collected on predictors included sex, age, marital status, employment, annual income, region, current smoking, current alcohol consumption, physical multimorbidity, any physical symptoms experienced during self-isolation/social distancing, and the number of days of self-isolation/social distancing. The association between potential predictors and poor mental health was studied using a multivariable logistic regression. Results: 932 participants were included. Factors associated with poor mental health were sex (reference: male; female: OR=1.89, 95%CI=1.34-2.68), age (18-24 years: reference;45-54 years: OR=0.27, 95%CI=0.14-0.53; 55-64 years: OR=0.24, 95%CI=0.12-0.47; 65-74years: OR=0.10, 95% CI=0.05-0.22; and ≥75years: OR=0.08,95% CI=0.03-0.24),annual income (&lt;£15,000: reference; £25,000-&lt;£40,000: OR=0.54, 95% CI=0.31-0.93; £40,000-&lt;£60,000: OR=0.39, 95% CI=0.22-0.69; and ≥£60,000: OR=0.38, 95% CI=0.21-0.67), current smoking (yes: OR=2.59, 95%CI=1.62-4.20), and physical multimorbidity (OR=2.35, 95%CI=1.61-3.46). Conclusions: In this sample of UK adults self-isolating/social distancing females, younger age groups, those with a lower annual income, current smokers and those with physical multimorbidity were associated with higher levels of poor mental health.","container-title":"Psychiatry Research","DOI":"10.1016/j.psychres.2020.113138","ISSN":"0165-1781","journalAbbreviation":"Psychiatry Research","language":"en","page":"113138","source":"ScienceDirect","title":"Correlates of symptoms of anxiety and depression and mental wellbeing associated with COVID-19: a cross-sectional study of UK-based respondents","title-short":"Correlates of symptoms of anxiety and depression and mental wellbeing associated with COVID-19","volume":"291","author":[{"family":"Smith","given":"Lee"},{"family":"Jacob","given":"Louis"},{"family":"Yakkundi","given":"Anita"},{"family":"McDermott","given":"Daragh"},{"family":"Armstrong","given":"Nicola C"},{"family":"Barnett","given":"Yvonne"},{"family":"López-Sánchez","given":"Guillermo F."},{"family":"Martin","given":"Suzanne"},{"family":"Butler","given":"Laurie"},{"family":"Tully","given":"Mark A"}],"issued":{"date-parts":[["2020",9,1]]}}}],"schema":"https://github.com/citation-style-language/schema/raw/master/csl-citation.json"}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Smith (2020)</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para luego decrecer según avanza el periodo de encierro y permanencia con la familia, según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{"citationID":"ybGsJsWL","properties":{"formattedCitation":"(Newby et\\uc0\\u160{}al., 2020)","plainCitation":"(Newby et al., 2020)","dontUpdate":true,"noteIndex":0},"citationItems":[{"id":"cPSG7McT/GkrZmTNE","uris":["http://zotero.org/users/local/HWFDfxM3/items/HWC2V4TB"],"uri":["http://zotero.org/users/local/HWFDfxM3/items/HWC2V4TB"],"itemData":{"id":573,"type":"article-journal","abstract":"The acute and long-term mental health impacts of the COVID-19 pandemic are unknown.  The current study examined the acute mental health responses to the COVID-19  pandemic in 5070 adult participants in Australia, using an online survey  administered during the peak of the outbreak in Australia (27th March to 7th April  2020). Self-report questionnaires examined COVID-19 fears and behavioural responses  to COVID-19, as well as the severity of psychological distress (depression, anxiety  and stress), health anxiety, contamination fears, alcohol use, and physical  activity. 78% of respondents reported that their mental health had worsened since  the outbreak, one quarter (25.9%) were very or extremely worried about contracting  COVID-19, and half (52.7%) were worried about family and friends contracting  COVID-19. Uncertainty, loneliness and financial worries (50%) were common. Rates of  elevated psychological distress were higher than expected, with 62%, 50%, and 64% of  respondents reporting elevated depression, anxiety and stress levels respectively,  and one in four reporting elevated health anxiety in the past week. Participants  with self-reported history of a mental health diagnosis had significantly higher  distress, health anxiety, and COVID-19 fears than those without a prior mental  health diagnosis. Demographic (e.g., non-binary or different gender identity;  Aboriginal and Torres Strait Islander status), occupational (e.g., being a carer or  stay at home parent), and psychological (e.g., perceived risk of contracting  COVID-19) factors were associated with distress. Results revealed that precautionary  behaviours (e.g., washing hands, using hand sanitiser, avoiding social events) were  common, although in contrast to previous research, higher engagement in hygiene  behaviours was associated with higher stress and anxiety levels. These results  highlight the serious acute impact of COVID-19 on the mental health of respondents,  and the need for proactive, accessible digital mental health services to address  these mental health needs, particularly for those most vulnerable, including people  with prior history of mental health problems. Longitudinal research is needed to  explore long-term predictors of poor mental health from the COVID-19 pandemic.","container-title":"PloS one","DOI":"10.1371/journal.pone.0236562","ISSN":"1932-6203 1932-6203","issue":"7","journalAbbreviation":"PLoS One","language":"eng","note":"PMID: 32722711 \nPMCID: PMC7386645","page":"e0236562","title":"Acute mental health responses during the COVID-19 pandemic in Australia.","volume":"15","author":[{"family":"Newby","given":"Jill M."},{"family":"O'Moore","given":"Kathleen"},{"family":"Tang","given":"Samantha"},{"family":"Christensen","given":"Helen"},{"family":"Faasse","given":"Kate"}],"issued":{"date-parts":[["2020"]]}}}],"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Newby (2020)</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los dos autores tienen razón al estar una persona confinada y tener niveles altos de estrés el aumento de consumo de alcohol se dio en las primeras semanas pero disminuyo con el tiempo.</w:t>
      </w:r>
    </w:p>
    <w:p w14:paraId="5DE6E634" w14:textId="785ACD86" w:rsidR="00DE52EF" w:rsidRPr="000F63B2" w:rsidRDefault="00DE52EF" w:rsidP="00BD6A65">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Las condiciones del confinamiento son una experiencia traumática, que producen tensiones fuertes y persistentes, que producen una debilitación crónica u estrés continuo (TEPT), que estaría asociado al consumo de alcohol.</w:t>
      </w:r>
    </w:p>
    <w:p w14:paraId="7E1A490E" w14:textId="1753B613" w:rsidR="00DE52EF" w:rsidRPr="000F63B2" w:rsidRDefault="00DE52EF" w:rsidP="00BD6A65">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Hansel y </w:t>
      </w:r>
      <w:proofErr w:type="spellStart"/>
      <w:r w:rsidR="00BD6A65" w:rsidRPr="000F63B2">
        <w:rPr>
          <w:rFonts w:ascii="Arial" w:hAnsi="Arial" w:cs="Arial"/>
          <w:bCs/>
          <w:sz w:val="24"/>
          <w:szCs w:val="24"/>
          <w:lang w:val="es-EC"/>
        </w:rPr>
        <w:t>Columb</w:t>
      </w:r>
      <w:proofErr w:type="spellEnd"/>
      <w:r w:rsidR="00BD6A65" w:rsidRPr="000F63B2">
        <w:rPr>
          <w:rFonts w:ascii="Arial" w:hAnsi="Arial" w:cs="Arial"/>
          <w:bCs/>
          <w:sz w:val="24"/>
          <w:szCs w:val="24"/>
          <w:lang w:val="es-EC"/>
        </w:rPr>
        <w:t xml:space="preserve"> dicen</w:t>
      </w:r>
      <w:r w:rsidRPr="000F63B2">
        <w:rPr>
          <w:rFonts w:ascii="Arial" w:hAnsi="Arial" w:cs="Arial"/>
          <w:bCs/>
          <w:sz w:val="24"/>
          <w:szCs w:val="24"/>
          <w:lang w:val="es-EC"/>
        </w:rPr>
        <w:t xml:space="preserve"> que mayor tendencia de beber se encuentra en los que ya eran consumidores o adictos al alcohol.</w:t>
      </w:r>
    </w:p>
    <w:p w14:paraId="51719B11" w14:textId="77777777" w:rsidR="00DE52EF" w:rsidRPr="000F63B2" w:rsidRDefault="00DE52EF" w:rsidP="00BD6A65">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Mientras que, Sacco (2020) cuestiona que los datos obtenidos durante la pandemia no son confiables, por las condiciones en la que fueron aplicadas los reactivos.</w:t>
      </w:r>
    </w:p>
    <w:p w14:paraId="0E56B41E" w14:textId="77777777" w:rsidR="00DE52EF" w:rsidRPr="000F63B2" w:rsidRDefault="00DE52EF" w:rsidP="00BD6A65">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En tanto, </w:t>
      </w:r>
      <w:proofErr w:type="spellStart"/>
      <w:r w:rsidRPr="000F63B2">
        <w:rPr>
          <w:rFonts w:ascii="Arial" w:hAnsi="Arial" w:cs="Arial"/>
          <w:bCs/>
          <w:sz w:val="24"/>
          <w:szCs w:val="24"/>
          <w:lang w:val="es-EC"/>
        </w:rPr>
        <w:t>Caqueo</w:t>
      </w:r>
      <w:proofErr w:type="spellEnd"/>
      <w:r w:rsidRPr="000F63B2">
        <w:rPr>
          <w:rFonts w:ascii="Arial" w:hAnsi="Arial" w:cs="Arial"/>
          <w:bCs/>
          <w:sz w:val="24"/>
          <w:szCs w:val="24"/>
          <w:lang w:val="es-EC"/>
        </w:rPr>
        <w:t xml:space="preserve"> (2020) en sus datos dice que el estrés y el consumo de alcohol son van en paralelo y se ha ido incrementando, de esta manera discrepa de los demás investigadores. </w:t>
      </w:r>
    </w:p>
    <w:p w14:paraId="2F48ADAE" w14:textId="77777777" w:rsidR="00DE52EF" w:rsidRPr="000F63B2" w:rsidRDefault="00DE52EF" w:rsidP="00BD6A65">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 Otros autores nos explican que el consumo de alcohol aumento en las primeras semanas podría estar asociado a la angustia del encierro según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{"citationID":"ee7FvzUE","properties":{"formattedCitation":"(Chodkiewicz et\\uc0\\u160{}al., 2020)","plainCitation":"(Chodkiewicz et al., 2020)","dontUpdate":true,"noteIndex":0},"citationItems":[{"id":"cPSG7McT/Os0vPfh4","uris":["http://zotero.org/users/local/HWFDfxM3/items/74B5WABU"],"uri":["http://zotero.org/users/local/HWFDfxM3/items/74B5WABU"],"itemData":{"id":493,"type":"article-journal","abstract":"Physical health is not the only area affected by the outbreak of the SARS-CoV-2  virus pandemic. There are also other consequences that have globally affected many  millions at other levels, namely: Societal, political, economic, and cultural. This  study aims to survey alcohol drinking throughout the pandemic so as to investigate  those factors considered most relevant; i.e., sociodemographic and clinical. A  longitudinal study was designed. The first (or initial) stage was completed between  April 10-20 2020 on 443 subjects during the enforcement of the \"Lockdown\" in Poland.  The second stage will be due in June 2020. As well as an in-house questionnaire, the  study used: The Alcohol Use Disorder Identification Test (AUDIT), General Health  Questionnaire (GHQ-28), Perceived Stress Scale (PSS-10), and the Brief COPE  Inventory (Mini COPE). Alcohol was the most commonly used psychoactive substance  (73%) identified. More than 30% changed their drinking habits because of the  pandemic, with 16% actually drinking less, whilst 14% did so more. The former group  was significantly younger than the latter. Amongst the stress-related coping  strategies, it was found that current alcohol drinkers were significantly less able  to find anything positive about the pandemic situation (positive reframing) and were  mentally less able to cope. Those drinking more now were found to have been drinking  more intensively before the pandemic started.","container-title":"International journal of environmental research and public health","DOI":"10.3390/ijerph17134677","ISSN":"1660-4601 1661-7827 1660-4601","issue":"13","journalAbbreviation":"Int J Environ Res Public Health","language":"eng","note":"PMID: 32610613 \nPMCID: PMC7369979","title":"Alcohol Consumption Reported during the COVID-19 Pandemic: The Initial Stage.","volume":"17","author":[{"family":"Chodkiewicz","given":"Jan"},{"family":"Talarowska","given":"Monika"},{"family":"Miniszewska","given":"Joanna"},{"family":"Nawrocka","given":"Natalia"},{"family":"Bilinski","given":"Przemyslaw"}],"issued":{"date-parts":[["2020",6,29]]}}}],"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Chodkiewicz (2020)</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mientras que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{"citationID":"FSmxVW5y","properties":{"formattedCitation":"(Shimizu et\\uc0\\u160{}al., 2000)","plainCitation":"(Shimizu et al., 2000)","noteIndex":0},"citationItems":[{"id":"cPSG7McT/t30QNAcQ","uris":["http://zotero.org/users/local/HWFDfxM3/items/KFJP2TA2"],"uri":["http://zotero.org/users/local/HWFDfxM3/items/KFJP2TA2"],"itemData":{"id":1820,"type":"article-journal","abstract":"Aims. To assess changes in alcohol consumption attributable to the Great Hanshin Earthquake to test the assumption that alcohol consumption increases after natural disasters. Methods. Quarterly alcohol sales figures were compared for three periods: before, immediately after and subsequent to the Great Hanshin Earthquake in three areas of the Hyogo prefecture: the severely affected area, the moderately affected area and the unaffected area. Possible confounding by population movement, damage to retail outlets and normal variation in sales, was assessed. Findings. The quantity of alcoholic beverages consumed in the heavily damaged areas as well as throughout the prefecture decreased from the 1994 pre-disaster level, both immediately after the Great Hanshin Earthquake (January-March 1995) and 2 years after the disaster. This finding remained once possible confounding factors were taken into consideration. Conclusions. More attention should be placed on drinking in the cultural context where a disaster occurs. It may sometimes deter, rather than encourage, drinking among the affected population.","container-title":"Addiction","DOI":"10.1046/j.1360-0443.2000.9545295.x","ISSN":"0965-2140","issue":"4","journalAbbreviation":"Addiction","page":"529-536","title":"Natural disasters and alcohol consumption in a cultural context: the Great Hanshin Earthquake in Japan","volume":"95","author":[{"family":"Shimizu","given":"Shinji"},{"family":"Aso","given":"Katsuro"},{"family":"Noda","given":"Tetsuro"},{"family":"Ryukei","given":"So"},{"family":"Kochi","given":"Yoshiro"},{"family":"Yamamoto","given":"Noriya"}],"issued":{"date-parts":[["2000"]]}}}],"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(Shimizu et al., 2000)</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dice que el confinamiento en estado de emergencia disminuye el consumo de licor, también Hernández (2020), y Monteiro (2020), en sus trabajos revelan de esta disminución. </w:t>
      </w:r>
    </w:p>
    <w:p w14:paraId="3AA4B419" w14:textId="77777777" w:rsidR="00BD6A65" w:rsidRPr="000F63B2" w:rsidRDefault="00DE52EF" w:rsidP="00BD6A65">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Por otra parte, el miedo, la angustia, el nerviosismo pasan a ser parte del TEPT, y el consumo de licor podría ser una forma de controlar la angustia y producir tranquilidad. Además investigadores como </w:t>
      </w:r>
      <w:proofErr w:type="spellStart"/>
      <w:r w:rsidRPr="000F63B2">
        <w:rPr>
          <w:rFonts w:ascii="Arial" w:hAnsi="Arial" w:cs="Arial"/>
          <w:bCs/>
          <w:sz w:val="24"/>
          <w:szCs w:val="24"/>
          <w:lang w:val="es-EC"/>
        </w:rPr>
        <w:t>Krammer</w:t>
      </w:r>
      <w:proofErr w:type="spellEnd"/>
      <w:r w:rsidRPr="000F63B2">
        <w:rPr>
          <w:rFonts w:ascii="Arial" w:hAnsi="Arial" w:cs="Arial"/>
          <w:bCs/>
          <w:sz w:val="24"/>
          <w:szCs w:val="24"/>
          <w:lang w:val="es-EC"/>
        </w:rPr>
        <w:t xml:space="preserve"> (2020), </w:t>
      </w:r>
      <w:proofErr w:type="spellStart"/>
      <w:r w:rsidRPr="000F63B2">
        <w:rPr>
          <w:rFonts w:ascii="Arial" w:hAnsi="Arial" w:cs="Arial"/>
          <w:bCs/>
          <w:sz w:val="24"/>
          <w:szCs w:val="24"/>
          <w:lang w:val="es-EC"/>
        </w:rPr>
        <w:t>Nerby</w:t>
      </w:r>
      <w:proofErr w:type="spellEnd"/>
      <w:r w:rsidRPr="000F63B2">
        <w:rPr>
          <w:rFonts w:ascii="Arial" w:hAnsi="Arial" w:cs="Arial"/>
          <w:bCs/>
          <w:sz w:val="24"/>
          <w:szCs w:val="24"/>
          <w:lang w:val="es-EC"/>
        </w:rPr>
        <w:t xml:space="preserve"> (2020), </w:t>
      </w:r>
      <w:proofErr w:type="spellStart"/>
      <w:r w:rsidRPr="000F63B2">
        <w:rPr>
          <w:rFonts w:ascii="Arial" w:hAnsi="Arial" w:cs="Arial"/>
          <w:bCs/>
          <w:sz w:val="24"/>
          <w:szCs w:val="24"/>
          <w:lang w:val="es-EC"/>
        </w:rPr>
        <w:t>Staton</w:t>
      </w:r>
      <w:proofErr w:type="spellEnd"/>
      <w:r w:rsidRPr="000F63B2">
        <w:rPr>
          <w:rFonts w:ascii="Arial" w:hAnsi="Arial" w:cs="Arial"/>
          <w:bCs/>
          <w:sz w:val="24"/>
          <w:szCs w:val="24"/>
          <w:lang w:val="es-EC"/>
        </w:rPr>
        <w:t xml:space="preserve"> (2020), Sidor (2020), Hansel (2020), </w:t>
      </w:r>
      <w:proofErr w:type="spellStart"/>
      <w:r w:rsidRPr="000F63B2">
        <w:rPr>
          <w:rFonts w:ascii="Arial" w:hAnsi="Arial" w:cs="Arial"/>
          <w:bCs/>
          <w:sz w:val="24"/>
          <w:szCs w:val="24"/>
          <w:lang w:val="es-EC"/>
        </w:rPr>
        <w:t>Chodkiewicz</w:t>
      </w:r>
      <w:proofErr w:type="spellEnd"/>
      <w:r w:rsidRPr="000F63B2">
        <w:rPr>
          <w:rFonts w:ascii="Arial" w:hAnsi="Arial" w:cs="Arial"/>
          <w:bCs/>
          <w:sz w:val="24"/>
          <w:szCs w:val="24"/>
          <w:lang w:val="es-EC"/>
        </w:rPr>
        <w:t xml:space="preserve"> (2020), Lee (2020), Hernández (2020), (Ecuador) lograron llevar a cabo estudios de base poblacional sobre el </w:t>
      </w:r>
      <w:r w:rsidRPr="000F63B2">
        <w:rPr>
          <w:rFonts w:ascii="Arial" w:hAnsi="Arial" w:cs="Arial"/>
          <w:bCs/>
          <w:sz w:val="24"/>
          <w:szCs w:val="24"/>
          <w:lang w:val="es-EC"/>
        </w:rPr>
        <w:lastRenderedPageBreak/>
        <w:t xml:space="preserve">estrés y el consumo de alcohol en este año de pandemia por la COVID-19,  Hay otras investigaciones (Conejero (2020),  </w:t>
      </w:r>
      <w:proofErr w:type="spellStart"/>
      <w:r w:rsidRPr="000F63B2">
        <w:rPr>
          <w:rFonts w:ascii="Arial" w:hAnsi="Arial" w:cs="Arial"/>
          <w:bCs/>
          <w:sz w:val="24"/>
          <w:szCs w:val="24"/>
          <w:lang w:val="es-EC"/>
        </w:rPr>
        <w:t>Stuijfzand</w:t>
      </w:r>
      <w:proofErr w:type="spellEnd"/>
      <w:r w:rsidRPr="000F63B2">
        <w:rPr>
          <w:rFonts w:ascii="Arial" w:hAnsi="Arial" w:cs="Arial"/>
          <w:bCs/>
          <w:sz w:val="24"/>
          <w:szCs w:val="24"/>
          <w:lang w:val="es-EC"/>
        </w:rPr>
        <w:t xml:space="preserve"> (2020) relacionadas al consumo de alcohol con el miedo, la ansiedad y el estrés, igualmente, según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{"citationID":"ru3wsO4U","properties":{"formattedCitation":"(Boscarino et\\uc0\\u160{}al., 2006)","plainCitation":"(Boscarino et al., 2006)","dontUpdate":true,"noteIndex":0},"citationItems":[{"id":"cPSG7McT/EbKpJGHa","uris":["http://zotero.org/users/local/HWFDfxM3/items/IL5PKVSK"],"uri":["http://zotero.org/users/local/HWFDfxM3/items/IL5PKVSK"],"itemData":{"id":1816,"type":"article-journal","container-title":"Addictive behaviors","DOI":"10.1016/j.addbeh.2005.05.035","journalAbbreviation":"Addictive behaviors","page":"606-21","title":"Alcohol Use in New York after the Terrorist Attacks: A Study of the Effects of Psychological Trauma on Drinking Behavior","volume":"31","author":[{"family":"Boscarino","given":"Joseph"},{"family":"Adams","given":"Richard"},{"family":"Galea","given":"Sandro"}],"issued":{"date-parts":[["2006",5,1]]}}}],"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Boscarino, (2006)</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{"citationID":"qYa6PdAl","properties":{"formattedCitation":"(Lebeaut et\\uc0\\u160{}al., 2020)","plainCitation":"(Lebeaut et al., 2020)","dontUpdate":true,"noteIndex":0},"citationItems":[{"id":"cPSG7McT/WXsIGsZ2","uris":["http://zotero.org/users/local/HWFDfxM3/items/5MAKTP4X"],"uri":["http://zotero.org/users/local/HWFDfxM3/items/5MAKTP4X"],"itemData":{"id":1818,"type":"article-journal","abstract":"INTRODUCTION: Firefighters are vulnerable to developing posttraumatic stress  disorder (PTSD) and alcohol use disorder (AUD). Anxiety sensitivity (AS) is a  cognitive-affective mechanism with clinical relevance to both PTSD and AUD. The  current study examined the potential role of AS in the association of PTSD  symptomatology with alcohol use severity and alcohol use motives among a large  sample of firefighters. Heightened PTSD and high AS were expected to be associated  with alcohol use severity and coping-oriented alcohol use motives. Heightened PTSD  symptomatology was expected to be indirectly associated with alcohol use severity  and coping motives through high AS. Covariates included number of years in the fire  service and the number of traumatic event types endorsed. METHODS: Participants  included 652 urban firefighters (93.3% male; M(age) = 38.7, SD = 8.57). Firefighters  completed an online questionnaire battery. RESULTS: PTSD symptomatology was  positively associated with alcohol use and coping motives. AS was positively  associated with alcohol use coping motives but not alcohol use severity. AS  partially explained the association between PTSD symptomatology and coping,  conformity, and social motives, but did not significantly account for the  relationship between PTSD symptom severity and enhancement motives or alcohol use  severity. CONCLUSIONS: Among firefighters, the association between PTSD and alcohol  use coping, conformity, and social motives is partially accounted for by AS.  Clinical and research implications are discussed.","container-title":"Addictive behaviors","DOI":"10.1016/j.addbeh.2020.106353","ISSN":"1873-6327 0306-4603","journalAbbreviation":"Addict Behav","language":"eng","note":"publisher-place: England\nPMID: 32087474","page":"106353","title":"Posttraumatic stress, alcohol use severity, and alcohol use motives among  firefighters: The role of anxiety sensitivity.","volume":"106","author":[{"family":"Lebeaut","given":"Antoine"},{"family":"Tran","given":"Jana K."},{"family":"Vujanovic","given":"Anka A."}],"issued":{"date-parts":[["2020",7]]}}}],"schema":"https://github.com/citation-style-language/schema/raw/master/csl-citation.json"}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Lebeaut, (2020)</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{"citationID":"vVVzQ95i","properties":{"formattedCitation":"(Columb et\\uc0\\u160{}al., 2020)","plainCitation":"(Columb et al., 2020)","dontUpdate":true,"noteIndex":0},"citationItems":[{"id":"cPSG7McT/oLg55BoA","uris":["http://zotero.org/users/local/HWFDfxM3/items/7MBXAPGT"],"uri":["http://zotero.org/users/local/HWFDfxM3/items/7MBXAPGT"],"itemData":{"id":482,"type":"article-journal","abstract":"The Coronavirus Disease 2019 (COVID-19) pandemic has undoubtedly had a major impact  on the provision of physical healthcare in Ireland and worldwide. The mental health  impact of this pandemic cannot be underestimated, particularly relating to patients  suffering from addiction. Heightened public stress and anxiety levels, increasing  isolation and the physical consequences of addiction play a large role in the  proliferation and ongoing relapse of substance misuse and behavioural addiction.  Service provision is an ongoing challenge not only due to the increasing need for  services given the increased mental health burden of COVID-19 but also the  restrictions in place in clinical areas to achieve social distancing. The necessary  adaptations to service provision provide opportunities for the analysis of current  processes used in our addiction unit and the introduction of new processes to our  service. The current crisis tests the sustainability of the service to provide the  high standard of care required for these patients.","container-title":"Irish journal of psychological medicine","DOI":"10.1017/ipm.2020.47","ISSN":"2051-6967 0790-9667 0790-9667","journalAbbreviation":"Ir J Psychol Med","language":"eng","note":"PMID: 32434597 \nPMCID: PMC7280151","page":"1-5","title":"Addiction psychiatry and COVID-19: impact on patients and service provision.","author":[{"family":"Columb","given":"D."},{"family":"Hussain","given":"R."},{"family":"O'Gara","given":"C."}],"issued":{"date-parts":[["2020",5,21]]}}}],"schema":"https://github.com/citation-style-language/schema/raw/master/csl-citation.json"}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Columb, (2020)</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{"citationID":"Ij402e7r","properties":{"formattedCitation":"(Krammer et\\uc0\\u160{}al., 2020)","plainCitation":"(Krammer et al., 2020)","dontUpdate":true,"noteIndex":0},"citationItems":[{"id":"cPSG7McT/tQC9gemN","uris":["http://zotero.org/users/local/HWFDfxM3/items/25BV8TEK"],"uri":["http://zotero.org/users/local/HWFDfxM3/items/25BV8TEK"],"itemData":{"id":599,"type":"article-journal","abstract":"BACKGROUND: International studies point to increased mental health problems of  medical staff during the Corona pandemic (COVID-19). This is the first study to  investigate mental health, i. e. adjustment disorder, depression, stress symptoms,  Corona related fears as well as coping mechanisms in this group in a German-speaking  country. MATERIAL AND METHODS: In April 2020, N=100 subjects were recruited that  currently are engaged in a hospital. A series of standardized assessments were  included: adjustment disorder (ADNM-20), depression (PHQ-9), stress symptoms and  coping strategies (SCI). Currently, cross-sectional data are analyzed, because the  study is still going on and longitudinal data is not yet assessed. RESULTS:  Frequencies of adjustment disorder and depression are 8 and 15%, respectively. Two  hierarchical regression models were run to predict adjustment disorder and  depression; predictive power was higher for the first (41 vs. 35%). Fear of  infection was reported to be higher regarding one's family than oneself. Nursing  staff, those with preloads, and women were found to report more mental health  problems. Those with direct contact to people that fell ill with COVID-19 did not  differ from those with no direct contact. DISCUSSION: Currently, medical staff has a  high risk for being mentally stressed. China, being epidemically experienced, has  published principles for psychiatric interventions in January 2020. This might be  relevant for Switzerland, too. Specific psychotherapeutic interventions, targeting  at cognitive restructuring and sensitizing regarding dealing with alcohol and  cigarettes, may be needed in order to protect this vulnerable group of person during  and after the Corona pandemic.","container-title":"Psychotherapie, Psychosomatik, medizinische Psychologie","DOI":"10.1055/a-1192-6608","ISSN":"1439-1058 0937-2032","issue":"7","journalAbbreviation":"Psychother Psychosom Med Psychol","language":"ger","note":"publisher-place: Germany\nPMID: 32688420","page":"272-282","title":"[Adjustment Disorder, Depression, Stress Symptoms, Corona Related Anxieties and  Coping Strategies during the Corona Pandemic (COVID-19) in Swiss Medical Staff].","volume":"70","author":[{"family":"Krammer","given":"Sandy"},{"family":"Augstburger","given":"Roland"},{"family":"Haeck","given":"Martina"},{"family":"Maercker","given":"Andreas"}],"issued":{"date-parts":[["2020",7]]}}}],"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Krammer, (2020)</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{"citationID":"Ox8eF3qE","properties":{"formattedCitation":"(Lee, 2020)","plainCitation":"(Lee, 2020)","dontUpdate":true,"noteIndex":0},"citationItems":[{"id":"cPSG7McT/A5MC3oGF","uris":["http://zotero.org/users/local/HWFDfxM3/items/XBRDSN5N"],"uri":["http://zotero.org/users/local/HWFDfxM3/items/XBRDSN5N"],"itemData":{"id":511,"type":"article-journal","abstract":"Mental health concerns of people impacted by the coronavirus pandemic have not been  adequately addressed. The objective of this study was to develop and evaluate the  properties of the Coronavirus Anxiety Scale (CAS), which is a brief mental health  screener to identify probable cases of dysfunctional anxiety associated with the  COVID-19 crisis. This 5-item scale, which was based on 775 adults with anxiety over  the coronavirus, demonstrated solid reliability and validity. Elevated CAS scores  were found to be associated with coronavirus diagnosis, impairment, alcohol/drug  coping, negative religious coping, extreme hopelessness, suicidal ideation, as well  as attitudes toward President Trump and Chinese products. The CAS discriminates well  between persons with and without dysfunctional anxiety using an optimized cut score  of ≥ 9 (90% sensitivity and 85% specificity). These results support the CAS as an  efficient and valid tool for clinical research and practice.","container-title":"Death studies","DOI":"10.1080/07481187.2020.1748481","ISSN":"1091-7683 0748-1187","issue":"7","journalAbbreviation":"Death Stud","language":"eng","note":"publisher-place: United States\nPMID: 32299304","page":"393-401","title":"Coronavirus Anxiety Scale: A brief mental health screener for COVID-19 related  anxiety.","volume":"44","author":[{"family":"Lee","given":"Sherman A."}],"issued":{"date-parts":[["2020"]]}}}],"schema":"https://github.com/citation-style-language/schema/raw/master/csl-citation.json"}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Lee, (2020)</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{"citationID":"GBZBaYnJ","properties":{"formattedCitation":"(Sidor &amp; Rzymski, 2020)","plainCitation":"(Sidor &amp; Rzymski, 2020)","dontUpdate":true,"noteIndex":0},"citationItems":[{"id":"cPSG7McT/QF77pYx0","uris":["http://zotero.org/users/local/HWFDfxM3/items/J36JU2LW"],"uri":["http://zotero.org/users/local/HWFDfxM3/items/J36JU2LW"],"itemData":{"id":460,"type":"article-journal","abstract":"The outbreak of coronavirus disease (COVID-19) in late December 2019 in China, which  later developed into a pandemic, has forced different countries to implement strict  sanitary regimes and social distancing measures. Globally, at least four billion  people were under lockdown, working remotely, homeschooling children, and facing  challenges coping with quarantine and the stressful events. The present  cross-sectional online survey of adult Poles (n = 1097), conducted during a  nationwide quarantine, aimed to assess whether nutritional and consumer habits have  been affected under these conditions. Over 43.0% and nearly 52% reported eating and  snacking more, respectively, and these tendencies were more frequent in overweight  and obese individuals. Almost 30% and over 18% experienced weight gain (mean ± SD  3.0 ± 1.6 kg) and loss (-2.9 ± 1.5 kg), respectively. Overweight, obese, and older  subjects (aged 36-45 and &gt;45) tended to gain weight more frequently, whereas those  with underweight tended to lose it further. Increased BMI was associated with less  frequent consumption of vegetables, fruit, and legumes during quarantine, and higher  adherence to meat, dairy, and fast-foods. An increase in alcohol consumption was  seen in 14.6%, with a higher tendency to drink more found among alcohol addicts.  Over 45% of smokers experienced a rise in smoking frequency during the quarantine.  The study highlights that lockdown imposed to contain an infectious agent may affect  eating behaviors and dietary habits, and advocates for organized nutritional support  during future epidemic-related quarantines, particularly for the most vulnerable  groups, including overweight and obese subjects.","container-title":"Nutrients","DOI":"10.3390/nu12061657","ISSN":"2072-6643 2072-6643","issue":"6","journalAbbreviation":"Nutrients","language":"eng","note":"PMID: 32503173 \nPMCID: PMC7352682","title":"Dietary Choices and Habits during COVID-19 Lockdown: Experience from Poland.","volume":"12","author":[{"family":"Sidor","given":"Aleksandra"},{"family":"Rzymski","given":"Piotr"}],"issued":{"date-parts":[["2020",6,3]]}}}],"schema":"https://github.com/citation-style-language/schema/raw/master/csl-citation.json"}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 xml:space="preserve">Sidor </w:t>
      </w:r>
      <w:r w:rsidR="00BD6A65" w:rsidRPr="000F63B2">
        <w:rPr>
          <w:rFonts w:ascii="Arial" w:hAnsi="Arial" w:cs="Arial"/>
          <w:bCs/>
          <w:sz w:val="24"/>
          <w:szCs w:val="24"/>
          <w:lang w:val="es-EC"/>
        </w:rPr>
        <w:t>y</w:t>
      </w:r>
      <w:r w:rsidRPr="000F63B2">
        <w:rPr>
          <w:rFonts w:ascii="Arial" w:hAnsi="Arial" w:cs="Arial"/>
          <w:bCs/>
          <w:sz w:val="24"/>
          <w:szCs w:val="24"/>
          <w:lang w:val="es-EC"/>
        </w:rPr>
        <w:t xml:space="preserve"> Rzymski, (2020)</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{"citationID":"VPRNlRKG","properties":{"formattedCitation":"(Wang et\\uc0\\u160{}al., 2020)","plainCitation":"(Wang et al., 2020)","dontUpdate":true,"noteIndex":0},"citationItems":[{"id":"cPSG7McT/B0SynrWt","uris":["http://zotero.org/users/local/HWFDfxM3/items/PHUJEDWM"],"uri":["http://zotero.org/users/local/HWFDfxM3/items/PHUJEDWM"],"itemData":{"id":617,"type":"article-journal","abstract":"The current study aimed to explore mental health problems in patients diagnosed with  cancer during the COVID-19 pandemic. A cluster sampling, cross-sectional survey with  6213 cancer patients was conducted in one of the largest cancer centers in China.  The socio-demographic and clinical characteristics, psychosomatic conditions,  interpersonal relationships and social support, COVID-19 infection-related  psychological stress, and mental health status were measured. Medical conditions  were extracted from patients' electronic healthcare records. Among the 6213 cancer  patients, 23.4% had depression, 17.7% had anxiety, 9.3% had PTSD, and 13.5% had  hostility. Hierarchical liner regression models showed that having a history of  mental disorder, excessive alcohol consumption, having a higher frequency of  worrying about cancer management due to COVID-19, having a higher frequency feeling  of overwhelming psychological pressure from COVID-19, and having a higher level of  fatigue and pain were the predominant risk factors for mental health problems in  cancer patients. However, there were only 1.6% of them were seeking psychological  counseling during COVID-19. We also revealed the protective factors associated with  lower risk of mental health problems among cancer patients. The present study  revealed a high prevalence of mental health problems and gaps in mental health  services for cancer patients, which also indicated high distress from  COVID-19-elevated risks. We call for systematic screening of mental health status  for all cancer patients, and developing specific psychological interventions for  this vulnerable population.","container-title":"Translational psychiatry","DOI":"10.1038/s41398-020-00950-y","ISSN":"2158-3188 2158-3188","issue":"1","journalAbbreviation":"Transl Psychiatry","language":"eng","note":"PMID: 32737292 \nPMCID: PMC7393344","page":"263","title":"Epidemiology of mental health problems among patients with cancer during COVID-19  pandemic.","volume":"10","author":[{"family":"Wang","given":"Yuanyuan"},{"family":"Duan","given":"Zhizhou"},{"family":"Ma","given":"Zikun"},{"family":"Mao","given":"Yize"},{"family":"Li","given":"Xiyuan"},{"family":"Wilson","given":"Amanda"},{"family":"Qin","given":"Huiying"},{"family":"Ou","given":"Jianjun"},{"family":"Peng","given":"Ke"},{"family":"Zhou","given":"Fangjian"},{"family":"Li","given":"Chaofeng"},{"family":"Liu","given":"Zhuowei"},{"family":"Chen","given":"Runsen"}],"issued":{"date-parts":[["2020",7,31]]}}}],"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Wang, (2020)</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dicen las situaciones generadoras de estrés aumentan el uso de alcohol, mientras que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{"citationID":"p5tPZlS2","properties":{"formattedCitation":"(North et\\uc0\\u160{}al., 2005)","plainCitation":"(North et al., 2005)","dontUpdate":true,"noteIndex":0},"citationItems":[{"id":"cPSG7McT/BKzjzpGo","uris":["http://zotero.org/users/local/HWFDfxM3/items/IAB2ZFW5"],"uri":["http://zotero.org/users/local/HWFDfxM3/items/IAB2ZFW5"],"itemData":{"id":1819,"type":"article-journal","container-title":"The Journal of nervous and mental disease","DOI":"10.1097/01.nmd.0000146911.52616.22","journalAbbreviation":"The Journal of nervous and mental disease","page":"823-9","title":"The Course of PTSD, Major Depression, Substance Abuse, and Somatization After a Natural Disaster","volume":"192","author":[{"family":"North","given":"Carol"},{"family":"Kawasaki","given":"Aya"},{"family":"Spitznagel","given":"Edward"},{"family":"Hong","given":"Barry"}],"issued":{"date-parts":[["2005",1,1]]}}}],"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North, (2005)</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{"citationID":"wkc7PgaP","properties":{"formattedCitation":"(Shimizu et\\uc0\\u160{}al., 2000)","plainCitation":"(Shimizu et al., 2000)","noteIndex":0},"citationItems":[{"id":"cPSG7McT/t30QNAcQ","uris":["http://zotero.org/users/local/HWFDfxM3/items/KFJP2TA2"],"uri":["http://zotero.org/users/local/HWFDfxM3/items/KFJP2TA2"],"itemData":{"id":1820,"type":"article-journal","abstract":"Aims. To assess changes in alcohol consumption attributable to the Great Hanshin Earthquake to test the assumption that alcohol consumption increases after natural disasters. Methods. Quarterly alcohol sales figures were compared for three periods: before, immediately after and subsequent to the Great Hanshin Earthquake in three areas of the Hyogo prefecture: the severely affected area, the moderately affected area and the unaffected area. Possible confounding by population movement, damage to retail outlets and normal variation in sales, was assessed. Findings. The quantity of alcoholic beverages consumed in the heavily damaged areas as well as throughout the prefecture decreased from the 1994 pre-disaster level, both immediately after the Great Hanshin Earthquake (January-March 1995) and 2 years after the disaster. This finding remained once possible confounding factors were taken into consideration. Conclusions. More attention should be placed on drinking in the cultural context where a disaster occurs. It may sometimes deter, rather than encourage, drinking among the affected population.","container-title":"Addiction","DOI":"10.1046/j.1360-0443.2000.9545295.x","ISSN":"0965-2140","issue":"4","journalAbbreviation":"Addiction","page":"529-536","title":"Natural disasters and alcohol consumption in a cultural context: the Great Hanshin Earthquake in Japan","volume":"95","author":[{"family":"Shimizu","given":"Shinji"},{"family":"Aso","given":"Katsuro"},{"family":"Noda","given":"Tetsuro"},{"family":"Ryukei","given":"So"},{"family":"Kochi","given":"Yoshiro"},{"family":"Yamamoto","given":"Noriya"}],"issued":{"date-parts":[["2000"]]}}}],"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(Shimizu et al., 2000)</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refieren que el confinamiento puede disminuir en consumo de licor, esto refiere también Hernández (2020), y Monteiro (2020), el pasar recluido provocaron condiciones emocionales de inestabilidad, más los problemas económicos, producto del cierre de negocios, despidos, disminución de sueldos, fue la causa para  consumir licores sin marca o artesanales, que podrían ser peligrosos para la salud, según </w:t>
      </w:r>
      <w:proofErr w:type="spellStart"/>
      <w:r w:rsidRPr="000F63B2">
        <w:rPr>
          <w:rFonts w:ascii="Arial" w:hAnsi="Arial" w:cs="Arial"/>
          <w:bCs/>
          <w:sz w:val="24"/>
          <w:szCs w:val="24"/>
          <w:lang w:val="es-EC"/>
        </w:rPr>
        <w:t>Chick</w:t>
      </w:r>
      <w:proofErr w:type="spellEnd"/>
      <w:r w:rsidRPr="000F63B2">
        <w:rPr>
          <w:rFonts w:ascii="Arial" w:hAnsi="Arial" w:cs="Arial"/>
          <w:bCs/>
          <w:sz w:val="24"/>
          <w:szCs w:val="24"/>
          <w:lang w:val="es-EC"/>
        </w:rPr>
        <w:t xml:space="preserve">,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{"citationID":"mD7pgAVG","properties":{"formattedCitation":"(Smith et\\uc0\\u160{}al., 2020)","plainCitation":"(Smith et al., 2020)","dontUpdate":true,"noteIndex":0},"citationItems":[{"id":"cPSG7McT/vPL5AEEL","uris":["http://zotero.org/users/local/HWFDfxM3/items/YTF26ELR"],"uri":["http://zotero.org/users/local/HWFDfxM3/items/YTF26ELR"],"itemData":{"id":153,"type":"article-journal","abstract":"Background: The aim was to assess the impact of COVID-19 self-isolation/social distancing on mental health, and potential correlates, among a sample of the UK population. Methods: A cross-sectional study. Mental health was measured using the Beck Anxiety and Depression Inventory. Mental wellbeing was measured using The Short Warwick-Edinburgh Mental Well-being Scale. Data collected on predictors included sex, age, marital status, employment, annual income, region, current smoking, current alcohol consumption, physical multimorbidity, any physical symptoms experienced during self-isolation/social distancing, and the number of days of self-isolation/social distancing. The association between potential predictors and poor mental health was studied using a multivariable logistic regression. Results: 932 participants were included. Factors associated with poor mental health were sex (reference: male; female: OR=1.89, 95%CI=1.34-2.68), age (18-24 years: reference;45-54 years: OR=0.27, 95%CI=0.14-0.53; 55-64 years: OR=0.24, 95%CI=0.12-0.47; 65-74years: OR=0.10, 95% CI=0.05-0.22; and ≥75years: OR=0.08,95% CI=0.03-0.24),annual income (&lt;£15,000: reference; £25,000-&lt;£40,000: OR=0.54, 95% CI=0.31-0.93; £40,000-&lt;£60,000: OR=0.39, 95% CI=0.22-0.69; and ≥£60,000: OR=0.38, 95% CI=0.21-0.67), current smoking (yes: OR=2.59, 95%CI=1.62-4.20), and physical multimorbidity (OR=2.35, 95%CI=1.61-3.46). Conclusions: In this sample of UK adults self-isolating/social distancing females, younger age groups, those with a lower annual income, current smokers and those with physical multimorbidity were associated with higher levels of poor mental health.","container-title":"Psychiatry Research","DOI":"10.1016/j.psychres.2020.113138","ISSN":"0165-1781","journalAbbreviation":"Psychiatry Research","language":"en","page":"113138","source":"ScienceDirect","title":"Correlates of symptoms of anxiety and depression and mental wellbeing associated with COVID-19: a cross-sectional study of UK-based respondents","title-short":"Correlates of symptoms of anxiety and depression and mental wellbeing associated with COVID-19","volume":"291","author":[{"family":"Smith","given":"Lee"},{"family":"Jacob","given":"Louis"},{"family":"Yakkundi","given":"Anita"},{"family":"McDermott","given":"Daragh"},{"family":"Armstrong","given":"Nicola C"},{"family":"Barnett","given":"Yvonne"},{"family":"López-Sánchez","given":"Guillermo F."},{"family":"Martin","given":"Suzanne"},{"family":"Butler","given":"Laurie"},{"family":"Tully","given":"Mark A"}],"issued":{"date-parts":[["2020",9,1]]}}}],"schema":"https://github.com/citation-style-language/schema/raw/master/csl-citation.json"}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Smith (2020)</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{"citationID":"9iMWz37I","properties":{"formattedCitation":"(Newby et\\uc0\\u160{}al., 2020)","plainCitation":"(Newby et al., 2020)","dontUpdate":true,"noteIndex":0},"citationItems":[{"id":"cPSG7McT/GkrZmTNE","uris":["http://zotero.org/users/local/HWFDfxM3/items/HWC2V4TB"],"uri":["http://zotero.org/users/local/HWFDfxM3/items/HWC2V4TB"],"itemData":{"id":573,"type":"article-journal","abstract":"The acute and long-term mental health impacts of the COVID-19 pandemic are unknown.  The current study examined the acute mental health responses to the COVID-19  pandemic in 5070 adult participants in Australia, using an online survey  administered during the peak of the outbreak in Australia (27th March to 7th April  2020). Self-report questionnaires examined COVID-19 fears and behavioural responses  to COVID-19, as well as the severity of psychological distress (depression, anxiety  and stress), health anxiety, contamination fears, alcohol use, and physical  activity. 78% of respondents reported that their mental health had worsened since  the outbreak, one quarter (25.9%) were very or extremely worried about contracting  COVID-19, and half (52.7%) were worried about family and friends contracting  COVID-19. Uncertainty, loneliness and financial worries (50%) were common. Rates of  elevated psychological distress were higher than expected, with 62%, 50%, and 64% of  respondents reporting elevated depression, anxiety and stress levels respectively,  and one in four reporting elevated health anxiety in the past week. Participants  with self-reported history of a mental health diagnosis had significantly higher  distress, health anxiety, and COVID-19 fears than those without a prior mental  health diagnosis. Demographic (e.g., non-binary or different gender identity;  Aboriginal and Torres Strait Islander status), occupational (e.g., being a carer or  stay at home parent), and psychological (e.g., perceived risk of contracting  COVID-19) factors were associated with distress. Results revealed that precautionary  behaviours (e.g., washing hands, using hand sanitiser, avoiding social events) were  common, although in contrast to previous research, higher engagement in hygiene  behaviours was associated with higher stress and anxiety levels. These results  highlight the serious acute impact of COVID-19 on the mental health of respondents,  and the need for proactive, accessible digital mental health services to address  these mental health needs, particularly for those most vulnerable, including people  with prior history of mental health problems. Longitudinal research is needed to  explore long-term predictors of poor mental health from the COVID-19 pandemic.","container-title":"PloS one","DOI":"10.1371/journal.pone.0236562","ISSN":"1932-6203 1932-6203","issue":"7","journalAbbreviation":"PLoS One","language":"eng","note":"PMID: 32722711 \nPMCID: PMC7386645","page":"e0236562","title":"Acute mental health responses during the COVID-19 pandemic in Australia.","volume":"15","author":[{"family":"Newby","given":"Jill M."},{"family":"O'Moore","given":"Kathleen"},{"family":"Tang","given":"Samantha"},{"family":"Christensen","given":"Helen"},{"family":"Faasse","given":"Kate"}],"issued":{"date-parts":[["2020"]]}}}],"schema":"https://github.com/citation-style-language/schema/raw/master/csl-citation.json"} </w:instrText>
      </w:r>
      <w:r w:rsidRPr="000F63B2">
        <w:rPr>
          <w:rFonts w:ascii="Arial" w:hAnsi="Arial" w:cs="Arial"/>
          <w:bCs/>
          <w:sz w:val="24"/>
          <w:szCs w:val="24"/>
          <w:lang w:val="es-EC"/>
        </w:rPr>
        <w:fldChar w:fldCharType="separate"/>
      </w:r>
      <w:proofErr w:type="spellStart"/>
      <w:r w:rsidRPr="000F63B2">
        <w:rPr>
          <w:rFonts w:ascii="Arial" w:hAnsi="Arial" w:cs="Arial"/>
          <w:bCs/>
          <w:sz w:val="24"/>
          <w:szCs w:val="24"/>
          <w:lang w:val="es-EC"/>
        </w:rPr>
        <w:t>Newby</w:t>
      </w:r>
      <w:proofErr w:type="spellEnd"/>
      <w:r w:rsidRPr="000F63B2">
        <w:rPr>
          <w:rFonts w:ascii="Arial" w:hAnsi="Arial" w:cs="Arial"/>
          <w:bCs/>
          <w:sz w:val="24"/>
          <w:szCs w:val="24"/>
          <w:lang w:val="es-EC"/>
        </w:rPr>
        <w:t xml:space="preserve"> (2020)</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{"citationID":"Vppw8Wkg","properties":{"formattedCitation":"(Chodkiewicz et\\uc0\\u160{}al., 2020)","plainCitation":"(Chodkiewicz et al., 2020)","dontUpdate":true,"noteIndex":0},"citationItems":[{"id":"cPSG7McT/Os0vPfh4","uris":["http://zotero.org/users/local/HWFDfxM3/items/74B5WABU"],"uri":["http://zotero.org/users/local/HWFDfxM3/items/74B5WABU"],"itemData":{"id":493,"type":"article-journal","abstract":"Physical health is not the only area affected by the outbreak of the SARS-CoV-2  virus pandemic. There are also other consequences that have globally affected many  millions at other levels, namely: Societal, political, economic, and cultural. This  study aims to survey alcohol drinking throughout the pandemic so as to investigate  those factors considered most relevant; i.e., sociodemographic and clinical. A  longitudinal study was designed. The first (or initial) stage was completed between  April 10-20 2020 on 443 subjects during the enforcement of the \"Lockdown\" in Poland.  The second stage will be due in June 2020. As well as an in-house questionnaire, the  study used: The Alcohol Use Disorder Identification Test (AUDIT), General Health  Questionnaire (GHQ-28), Perceived Stress Scale (PSS-10), and the Brief COPE  Inventory (Mini COPE). Alcohol was the most commonly used psychoactive substance  (73%) identified. More than 30% changed their drinking habits because of the  pandemic, with 16% actually drinking less, whilst 14% did so more. The former group  was significantly younger than the latter. Amongst the stress-related coping  strategies, it was found that current alcohol drinkers were significantly less able  to find anything positive about the pandemic situation (positive reframing) and were  mentally less able to cope. Those drinking more now were found to have been drinking  more intensively before the pandemic started.","container-title":"International journal of environmental research and public health","DOI":"10.3390/ijerph17134677","ISSN":"1660-4601 1661-7827 1660-4601","issue":"13","journalAbbreviation":"Int J Environ Res Public Health","language":"eng","note":"PMID: 32610613 \nPMCID: PMC7369979","title":"Alcohol Consumption Reported during the COVID-19 Pandemic: The Initial Stage.","volume":"17","author":[{"family":"Chodkiewicz","given":"Jan"},{"family":"Talarowska","given":"Monika"},{"family":"Miniszewska","given":"Joanna"},{"family":"Nawrocka","given":"Natalia"},{"family":"Bilinski","given":"Przemyslaw"}],"issued":{"date-parts":[["2020",6,29]]}}}],"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Chodkiewicz (2020)</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{"citationID":"zYTWsu98","properties":{"formattedCitation":"(Neill et\\uc0\\u160{}al., 2020)","plainCitation":"(Neill et al., 2020)","dontUpdate":true,"noteIndex":0},"citationItems":[{"id":"cPSG7McT/V6Z6ypz8","uris":["http://zotero.org/users/local/HWFDfxM3/items/8E53CWIY"],"uri":["http://zotero.org/users/local/HWFDfxM3/items/8E53CWIY"],"itemData":{"id":535,"type":"article-journal","abstract":"AIM: The effects of social isolation measures used to control the spread of COVID-19  are negatively impacting the mental health of many. One of the consequences of  exposure to disasters/pandemics is an increase in alcohol use. The current study  aimed to examine what predisposing (distal) and pandemic-related (proximal) factors  were associated with increased drinking in the wake of the COVID-19 pandemic.  METHODS: On 1 April 2020, 5158 Australians completed a survey from the COvid-19 and  you: mentaL heaLth in AusTralia now survEy (COLLATE) project, a nationwide study  aimed at tracking key mental health concerns. Using logistic regression, distal  (demographics and previous drinking behaviors) and proximal (employment, lifestyle  factors, and mood) factors were assessed for their association with increased  drinking since the onset of the COVID-19 pandemic. RESULTS: Distal factors,  including heavier drinking pre-pandemic, middle age, and average or higher income,  and proximal factors, including job loss, eating more, changes to sleep as well as  stress and depression, were all associated with increased drinking in the COVID-19  pandemic environment. Female sex and self-reported history of mental illness became  nonsignificant after proximal measures were added to the model. Living alone,  exercise, anxiety, and status as an essential or health-care worker were not  associated with increased drinking. CONCLUSION: These results provide guidance as to  who might be targeted to receive support based on predisposing demographic factors  and pre-pandemic drinking behavior. Second, they indicate what behaviors/factors  accompany increased alcohol use and provide targets for psychosocial and  psychoeducational supports to address these proximal factors.","container-title":"Psychiatry and clinical neurosciences","DOI":"10.1111/pcn.13099","ISSN":"1440-1819 1323-1316","journalAbbreviation":"Psychiatry Clin Neurosci","language":"eng","note":"publisher-place: Australia\nPMID: 32602150","title":"Alcohol use in Australia during the early days of the COVID-19 pandemic: Initial  results from the COLLATE project.","author":[{"family":"Neill","given":"Erica"},{"family":"Meyer","given":"Denny"},{"family":"Toh","given":"Wei Lin"},{"family":"Rheenen","given":"Tamsyn Elizabeth","non-dropping-particle":"van"},{"family":"Phillipou","given":"Andrea"},{"family":"Tan","given":"Eric Josiah"},{"family":"Rossell","given":"Susan Lee"}],"issued":{"date-parts":[["2020",6,29]]}}}],"schema":"https://github.com/citation-style-language/schema/raw/master/csl-citation.json"}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Neill (2020)</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Por esta razón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{"citationID":"Ql5L14NC","properties":{"formattedCitation":"(Anderson P, Gual A, Colon J., 2008)","plainCitation":"(Anderson P, Gual A, Colon J., 2008)","dontUpdate":true,"noteIndex":0},"citationItems":[{"id":"cPSG7McT/7D6Md0ge","uris":["http://zotero.org/users/local/HWFDfxM3/items/9RACA5VE"],"uri":["http://zotero.org/users/local/HWFDfxM3/items/9RACA5VE"],"itemData":{"id":1846,"type":"book","abstract":"La Región de las Américas es la zona del mundo en la que el consumo de alcohol contribuye con la mayor proporción relativa de mortalidad y años de vida perdidos por\nmuerte prematura o discapacidad. Si bien existe un porcentaje razonable de abstemios, los bebedores presentan patrones de consumo perjudiciales para su propia salud así como para otras personas. El alcohol es el primer factor de riesgo en lo que respecta a enfermedad y muerte prematura, siendo más importante aún que otros factores como el tabaquismo, la hi-percolesterolemia, el sobrepeso, la desnutrición y los problemas de saneamiento. Aparte de ser una droga que provoca dependencia y es el origen de más de 60 tipos de enfermedades y lesiones, el alcohol es responsable de causar serios problemas y daños sociales, mentales y emocionales, como criminalidad y violencia familiar, con elevados costos para la sociedad. El alcohol no sólo perjudica al consumidor, sino también a quienes lo rodean, al feto en mujeres embarazadas, a niños y niñas, a otros miembros de la familia y a víctimas de delitos, violencia y accidentes por conducir en estado de ebriedad","collection-number":"NLM WM 274","collection-title":"el manejo de rIesgos y problemas","edition":"O.M.S  Maristela Monteiro","event-place":"Washington, D.C.:  OPS,  © 2008.","ISBN":"ISBN 978 92 75 32856 9","publisher":"Pan American Health Organization","publisher-place":"Washington, D.C.:  OPS,  © 2008.","title":"Alcohol y atención primaria de la salud InformacIones clínIcas básIcas para la  IdentIfIcacIón y el manejo de rIesgos y problemas","author":[{"literal":"Anderson P, Gual A, Colon J."}],"issued":{"date-parts":[["2008"]]}}}],"schema":"https://github.com/citation-style-language/schema/raw/master/csl-citation.json"}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Anderson  et, al (2008)</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p.23 dice que “Existe una relación casi lineal entre consumo de alcohol y el riesgo de involucrarse en hechos de violencia.”  Además, que la sintomatología derivada del estrés puede alterar el desempeño del trabajo,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{"citationID":"qlxKhHwf","properties":{"formattedCitation":"(Ahmad et\\uc0\\u160{}al., 2020)","plainCitation":"(Ahmad et al., 2020)","dontUpdate":true,"noteIndex":0},"citationItems":[{"id":"cPSG7McT/rxYpYh54","uris":["http://zotero.org/users/local/HWFDfxM3/items/UEVD3IG7"],"uri":["http://zotero.org/users/local/HWFDfxM3/items/UEVD3IG7"],"itemData":{"id":631,"type":"article-journal","abstract":"INTRODUCTION: Mental health conditions like depression and anxiety are on the rise,  but access to care remains a challenge. Immigrants and racialized communities  including Chinese Canadians experience high level of access barriers including  communication with clinicians. With the aim to facilitate mental health  communications, we tested an Interactive Computer-assisted Client Assessment Survey  (iCCAS) in Cantonese/Mandarin and English at a nurse practitioner-led primary care  clinic in Toronto. The iCCAS offers a touch-screen, pre-consultation survey with  questions on depression, anxiety, post-traumatic stress, alcohol abuse, and social  context. The program generates point-of-care reports for the clinician and patient.  METHODS: A pilot randomized controlled trial examined the intervention impact on  mental health discussion and symptom detection, compared with the usual care,  followed by clinicians' qualitative interviews. RESULTS: Fifty self-identified  Chinese adult patients participated (iCCAS = 26, Usual Care = 24), response rate  79.4%. Participant mean age was 44.8 years and 92% were immigrants. There was an  increase of 19% and 15% in the mental health discussion and detection of symptoms in  the iCCAS group compared with the usual care. More participants in the iCCAS group  were referred to a social worker or psychiatrist. Patients found the use of iCCAS  easy and clinicians identified its benefits for themselves (eg, early identification  and comfort) and patients (eg, self-awareness and anonymity) and proposed  practice-integration. DISCUSSION: The studied tool holds promise for enhancing  clinician-patient mental health communications in primary care settings for overseas  Chinese. Implications are discussed for in-person and virtual healthcare which could  also inform responses to mental health crisis related to COVID-19.","container-title":"Asia-Pacific psychiatry : official journal of the Pacific Rim College of  Psychiatrists","DOI":"10.1111/appy.12400","ISSN":"1758-5872 1758-5864","journalAbbreviation":"Asia Pac Psychiatry","language":"eng","note":"publisher-place: Australia\nPMID: 32608131","page":"e12400","title":"Interactive mental health assessments for Chinese Canadians: A pilot randomized  controlled trial in nurse practitioner-led primary care clinic.","author":[{"family":"Ahmad","given":"Farah"},{"family":"Wang","given":"Jamie"},{"family":"Wong","given":"Bonnie"},{"family":"Fung","given":"Wai Lun Alan"}],"issued":{"date-parts":[["2020",6,30]]}}}],"schema":"https://github.com/citation-style-language/schema/raw/master/csl-citation.json"}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Ahmad et al., (2020)</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confirma que los problemas de ansiedad depresión y estrés post traumático van en aumento.  Por consiguiente es necesario estar preparados para la atención psicológica, elemento que fue necesario para dar una primera respuesta emocional  a la población general, a esto indica, primero,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{"citationID":"W1eP9eip","properties":{"formattedCitation":"(Cohen, 2008)","plainCitation":"(Cohen, 2008)","dontUpdate":true,"noteIndex":0},"citationItems":[{"id":"cPSG7McT/6R2KVSTf","uris":["http://zotero.org/users/local/HWFDfxM3/items/AUDEAZED"],"uri":["http://zotero.org/users/local/HWFDfxM3/items/AUDEAZED"],"itemData":{"id":1821,"type":"article-journal","container-title":"Revista Peruana de Medicina Experimental y Salud Publica","ISSN":"1726-4634","issue":"1","note":"publisher: Instituto Nacional de Salud","page":"109-117","source":"SciELO","title":"Lecciones aprendidas durante desastres naturales: 1970-2007","title-short":"Lecciones aprendidas durante desastres naturales","volume":"25","author":[{"family":"Cohen","given":"Raquel E."}],"issued":{"date-parts":[["2008",1]]}}}],"schema":"https://github.com/citation-style-language/schema/raw/master/csl-citation.json"}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Cohen, (2008)</w:t>
      </w:r>
      <w:r w:rsidRPr="000F63B2">
        <w:rPr>
          <w:rFonts w:ascii="Arial" w:hAnsi="Arial" w:cs="Arial"/>
          <w:bCs/>
          <w:sz w:val="24"/>
          <w:szCs w:val="24"/>
          <w:lang w:val="es-EC"/>
        </w:rPr>
        <w:fldChar w:fldCharType="end"/>
      </w:r>
      <w:r w:rsidRPr="000F63B2">
        <w:rPr>
          <w:rFonts w:ascii="Arial" w:hAnsi="Arial" w:cs="Arial"/>
          <w:bCs/>
          <w:sz w:val="24"/>
          <w:szCs w:val="24"/>
          <w:lang w:val="es-EC"/>
        </w:rPr>
        <w:t xml:space="preserve"> que generalmente en un desastre el personal de salud, incluidos los psicólogos no está preparados en técnicas de Atención psicológica en emergencias, o Primeros Auxilios Psicológicos (PAS),  segundo, Conejero (2020), los trabajadores de la salud mental son reclutados de varias áreas de trabajo y están poco preparados para su labor en emergencias, así tratan de usar los pocos conocimientos sobre manejo de emociones en desastres, trabajando mucho y descansando poco, lo que causa un desgaste, que podría producir a largo plazo también altos niveles de ansiedad, miedo y estrés y tercero, el personal de salud que está sobreexpuesto al sufrimiento y el dolor está en constante estrés, convirtiéndose en el grupo más vulnerable.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{"citationID":"EPAkqE37","properties":{"formattedCitation":"(Chodkiewicz et\\uc0\\u160{}al., 2020)","plainCitation":"(Chodkiewicz et al., 2020)","dontUpdate":true,"noteIndex":0},"citationItems":[{"id":"cPSG7McT/Os0vPfh4","uris":["http://zotero.org/users/local/HWFDfxM3/items/74B5WABU"],"uri":["http://zotero.org/users/local/HWFDfxM3/items/74B5WABU"],"itemData":{"id":493,"type":"article-journal","abstract":"Physical health is not the only area affected by the outbreak of the SARS-CoV-2  virus pandemic. There are also other consequences that have globally affected many  millions at other levels, namely: Societal, political, economic, and cultural. This  study aims to survey alcohol drinking throughout the pandemic so as to investigate  those factors considered most relevant; i.e., sociodemographic and clinical. A  longitudinal study was designed. The first (or initial) stage was completed between  April 10-20 2020 on 443 subjects during the enforcement of the \"Lockdown\" in Poland.  The second stage will be due in June 2020. As well as an in-house questionnaire, the  study used: The Alcohol Use Disorder Identification Test (AUDIT), General Health  Questionnaire (GHQ-28), Perceived Stress Scale (PSS-10), and the Brief COPE  Inventory (Mini COPE). Alcohol was the most commonly used psychoactive substance  (73%) identified. More than 30% changed their drinking habits because of the  pandemic, with 16% actually drinking less, whilst 14% did so more. The former group  was significantly younger than the latter. Amongst the stress-related coping  strategies, it was found that current alcohol drinkers were significantly less able  to find anything positive about the pandemic situation (positive reframing) and were  mentally less able to cope. Those drinking more now were found to have been drinking  more intensively before the pandemic started.","container-title":"International journal of environmental research and public health","DOI":"10.3390/ijerph17134677","ISSN":"1660-4601 1661-7827 1660-4601","issue":"13","journalAbbreviation":"Int J Environ Res Public Health","language":"eng","note":"PMID: 32610613 \nPMCID: PMC7369979","title":"Alcohol Consumption Reported during the COVID-19 Pandemic: The Initial Stage.","volume":"17","author":[{"family":"Chodkiewicz","given":"Jan"},{"family":"Talarowska","given":"Monika"},{"family":"Miniszewska","given":"Joanna"},{"family":"Nawrocka","given":"Natalia"},{"family":"Bilinski","given":"Przemyslaw"}],"issued":{"date-parts":[["2020",6,29]]}}}],"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Chodkiewicz et al., (2020)</w:t>
      </w:r>
      <w:r w:rsidRPr="000F63B2">
        <w:rPr>
          <w:rFonts w:ascii="Arial" w:hAnsi="Arial" w:cs="Arial"/>
          <w:bCs/>
          <w:sz w:val="24"/>
          <w:szCs w:val="24"/>
          <w:lang w:val="es-EC"/>
        </w:rPr>
        <w:fldChar w:fldCharType="end"/>
      </w:r>
      <w:r w:rsidRPr="000F63B2">
        <w:rPr>
          <w:rFonts w:ascii="Arial" w:hAnsi="Arial" w:cs="Arial"/>
          <w:bCs/>
          <w:sz w:val="24"/>
          <w:szCs w:val="24"/>
          <w:lang w:val="es-EC"/>
        </w:rPr>
        <w:t>, Navarro (2020).</w:t>
      </w:r>
    </w:p>
    <w:p w14:paraId="54E8F355" w14:textId="77777777" w:rsidR="00BD6A65" w:rsidRPr="000F63B2" w:rsidRDefault="00BD6A65" w:rsidP="00BD6A65">
      <w:pPr>
        <w:spacing w:after="0" w:line="240" w:lineRule="auto"/>
        <w:jc w:val="both"/>
        <w:rPr>
          <w:rFonts w:ascii="Arial" w:hAnsi="Arial" w:cs="Arial"/>
          <w:bCs/>
          <w:sz w:val="24"/>
          <w:szCs w:val="24"/>
          <w:lang w:val="es-EC"/>
        </w:rPr>
      </w:pPr>
    </w:p>
    <w:p w14:paraId="7F78ABEB" w14:textId="5B9DEF0F" w:rsidR="005271E4" w:rsidRPr="000F63B2" w:rsidRDefault="005271E4" w:rsidP="00BD6A65">
      <w:pPr>
        <w:spacing w:after="0" w:line="240" w:lineRule="auto"/>
        <w:jc w:val="both"/>
        <w:rPr>
          <w:rFonts w:ascii="Arial" w:hAnsi="Arial" w:cs="Arial"/>
          <w:bCs/>
          <w:sz w:val="24"/>
          <w:szCs w:val="24"/>
          <w:lang w:val="es-EC"/>
        </w:rPr>
      </w:pPr>
      <w:r w:rsidRPr="000F63B2">
        <w:rPr>
          <w:rFonts w:ascii="Arial" w:hAnsi="Arial" w:cs="Arial"/>
          <w:b/>
          <w:sz w:val="24"/>
          <w:szCs w:val="24"/>
          <w:lang w:val="es-MX"/>
        </w:rPr>
        <w:t>CONCLUSIONES</w:t>
      </w:r>
    </w:p>
    <w:p w14:paraId="3AA20E87" w14:textId="77777777" w:rsidR="005271E4" w:rsidRPr="000F63B2" w:rsidRDefault="005271E4" w:rsidP="005271E4">
      <w:pPr>
        <w:spacing w:after="0" w:line="240" w:lineRule="auto"/>
        <w:jc w:val="both"/>
        <w:rPr>
          <w:rFonts w:ascii="Arial" w:hAnsi="Arial" w:cs="Arial"/>
          <w:b/>
          <w:sz w:val="24"/>
          <w:szCs w:val="24"/>
        </w:rPr>
      </w:pPr>
    </w:p>
    <w:p w14:paraId="08131AE0" w14:textId="77777777" w:rsidR="005271E4" w:rsidRPr="000F63B2" w:rsidRDefault="005271E4" w:rsidP="00BD6A65">
      <w:pPr>
        <w:spacing w:after="0" w:line="240" w:lineRule="auto"/>
        <w:jc w:val="both"/>
        <w:rPr>
          <w:rFonts w:ascii="Arial" w:hAnsi="Arial" w:cs="Arial"/>
          <w:bCs/>
          <w:sz w:val="24"/>
          <w:szCs w:val="24"/>
          <w:lang w:val="es-EC"/>
        </w:rPr>
      </w:pPr>
      <w:r w:rsidRPr="000F63B2">
        <w:rPr>
          <w:rFonts w:ascii="Arial" w:hAnsi="Arial" w:cs="Arial"/>
          <w:bCs/>
          <w:sz w:val="24"/>
          <w:szCs w:val="24"/>
          <w:lang w:val="es-MX"/>
        </w:rPr>
        <w:t xml:space="preserve">La deserción en la educación superior es un fenómeno con varias aristas, abordado desde la socioformación, busca erradicarla por medio del </w:t>
      </w:r>
      <w:r w:rsidRPr="000F63B2">
        <w:rPr>
          <w:rFonts w:ascii="Arial" w:hAnsi="Arial" w:cs="Arial"/>
          <w:bCs/>
          <w:sz w:val="24"/>
          <w:szCs w:val="24"/>
          <w:lang w:val="es-EC"/>
        </w:rPr>
        <w:t xml:space="preserve">fortalecimiento de espacios de diálogo, emprendimiento, calidad de vida, con un sentido de </w:t>
      </w:r>
      <w:r w:rsidRPr="000F63B2">
        <w:rPr>
          <w:rFonts w:ascii="Arial" w:hAnsi="Arial" w:cs="Arial"/>
          <w:bCs/>
          <w:sz w:val="24"/>
          <w:szCs w:val="24"/>
        </w:rPr>
        <w:t>pertenencia</w:t>
      </w:r>
      <w:r w:rsidRPr="000F63B2">
        <w:rPr>
          <w:rFonts w:ascii="Arial" w:hAnsi="Arial" w:cs="Arial"/>
          <w:bCs/>
          <w:sz w:val="24"/>
          <w:szCs w:val="24"/>
          <w:lang w:val="es-EC"/>
        </w:rPr>
        <w:t xml:space="preserve"> mediante la gestión, el empoderamiento y el trabajo colaborativo que conlleven a una calidad académica y a la disminución progresiva del rezago académico, aumentando la tasa de eficiencia terminal con políticas que involucren los  procesos de tutoría, en atención a cada individuo con sus particularidades, generalidades.</w:t>
      </w:r>
    </w:p>
    <w:p w14:paraId="4FDCF5E7" w14:textId="77777777" w:rsidR="005271E4" w:rsidRPr="000F63B2" w:rsidRDefault="005271E4" w:rsidP="005271E4">
      <w:pPr>
        <w:spacing w:after="0" w:line="240" w:lineRule="auto"/>
        <w:ind w:firstLine="426"/>
        <w:jc w:val="both"/>
        <w:rPr>
          <w:rFonts w:ascii="Arial" w:hAnsi="Arial" w:cs="Arial"/>
          <w:bCs/>
          <w:sz w:val="24"/>
          <w:szCs w:val="24"/>
          <w:lang w:val="es-MX"/>
        </w:rPr>
      </w:pPr>
      <w:r w:rsidRPr="000F63B2">
        <w:rPr>
          <w:rFonts w:ascii="Arial" w:hAnsi="Arial" w:cs="Arial"/>
          <w:bCs/>
          <w:sz w:val="24"/>
          <w:szCs w:val="24"/>
          <w:lang w:val="es-MX"/>
        </w:rPr>
        <w:t>La retención socioformativa se centra en la persona que se desea formar, el emprendedor, y en el entorno que la rodea, pues involucra un conjunto de acciones a lo largo de la carrera universitaria que da inicio desde el proceso de admisión, acompañamiento y seguimiento con base en la nivelación académica, acogida y apoyo.</w:t>
      </w:r>
    </w:p>
    <w:p w14:paraId="0ADC5F9D" w14:textId="19413795" w:rsidR="005271E4" w:rsidRPr="000F63B2" w:rsidRDefault="005271E4" w:rsidP="005271E4">
      <w:pPr>
        <w:spacing w:after="0" w:line="240" w:lineRule="auto"/>
        <w:ind w:firstLine="426"/>
        <w:jc w:val="both"/>
        <w:rPr>
          <w:rFonts w:ascii="Arial" w:hAnsi="Arial" w:cs="Arial"/>
          <w:bCs/>
          <w:sz w:val="24"/>
          <w:szCs w:val="24"/>
          <w:lang w:val="es-MX"/>
        </w:rPr>
      </w:pPr>
      <w:r w:rsidRPr="000F63B2">
        <w:rPr>
          <w:rFonts w:ascii="Arial" w:hAnsi="Arial" w:cs="Arial"/>
          <w:bCs/>
          <w:sz w:val="24"/>
          <w:szCs w:val="24"/>
          <w:lang w:val="es-MX"/>
        </w:rPr>
        <w:t xml:space="preserve">La </w:t>
      </w:r>
      <w:r w:rsidRPr="000F63B2">
        <w:rPr>
          <w:rFonts w:ascii="Arial" w:hAnsi="Arial" w:cs="Arial"/>
          <w:bCs/>
          <w:sz w:val="24"/>
          <w:szCs w:val="24"/>
          <w:lang w:val="es-EC"/>
        </w:rPr>
        <w:t xml:space="preserve">deserción en la educación superior, es un problema que afecta a países en vías de desarrollo y a países desarrollados, considerándose un problema mundial, sin embargo las instituciones con sistemas de admisión más exigentes presentan </w:t>
      </w:r>
      <w:r w:rsidRPr="000F63B2">
        <w:rPr>
          <w:rFonts w:ascii="Arial" w:hAnsi="Arial" w:cs="Arial"/>
          <w:bCs/>
          <w:sz w:val="24"/>
          <w:szCs w:val="24"/>
          <w:lang w:val="es-EC"/>
        </w:rPr>
        <w:lastRenderedPageBreak/>
        <w:t>menores proporciones de deserción, p</w:t>
      </w:r>
      <w:r w:rsidRPr="000F63B2">
        <w:rPr>
          <w:rFonts w:ascii="Arial" w:hAnsi="Arial" w:cs="Arial"/>
          <w:bCs/>
          <w:sz w:val="24"/>
          <w:szCs w:val="24"/>
          <w:lang w:val="es-MX"/>
        </w:rPr>
        <w:t>ara disminuir las tasas de deserción y rezago académico desde la socioformación se recomienda implementar estrategias socioformativas que aborden procesos de acompañamiento, seguimiento y tutoría académica y de titulación en el que se involucre un estudio asociando variables académicas, institucionales, económicas, sociales y personales de los estudiantes.</w:t>
      </w:r>
    </w:p>
    <w:p w14:paraId="7B0C5F72" w14:textId="77777777" w:rsidR="00DE52EF" w:rsidRPr="000F63B2" w:rsidRDefault="00DE52EF" w:rsidP="006A07F4">
      <w:pPr>
        <w:spacing w:after="0" w:line="240" w:lineRule="auto"/>
        <w:jc w:val="both"/>
        <w:rPr>
          <w:rFonts w:ascii="Arial" w:hAnsi="Arial" w:cs="Arial"/>
          <w:bCs/>
          <w:sz w:val="24"/>
          <w:szCs w:val="24"/>
          <w:lang w:val="es-EC"/>
        </w:rPr>
      </w:pPr>
      <w:r w:rsidRPr="000F63B2">
        <w:rPr>
          <w:rFonts w:ascii="Arial" w:hAnsi="Arial" w:cs="Arial"/>
          <w:bCs/>
          <w:sz w:val="24"/>
          <w:szCs w:val="24"/>
          <w:lang w:val="es-EC"/>
        </w:rPr>
        <w:t xml:space="preserve">Las limitaciones propias de estar en un momento histórico, suigéneris y único que no ha permitido el normal desarrollo de las actividades y causo una crisis en todos los ámbitos, provocando la subestimación o sobrestimación de la prevalencia de estrés y del consumo de alcohol, al no poder contar con estudios poblacionales amplios. </w:t>
      </w:r>
    </w:p>
    <w:p w14:paraId="24B6A3DC" w14:textId="77777777" w:rsidR="00DE52EF" w:rsidRPr="000F63B2" w:rsidRDefault="00DE52EF" w:rsidP="00DE52EF">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Los datos obtenidos en este articulo fueron tomados de estudios realizados en los primeros meses de la pandemia donde no se contaba con datos concluyentes.</w:t>
      </w:r>
      <w:r w:rsidRPr="000F63B2" w:rsidDel="00D60065">
        <w:rPr>
          <w:rFonts w:ascii="Arial" w:hAnsi="Arial" w:cs="Arial"/>
          <w:bCs/>
          <w:sz w:val="24"/>
          <w:szCs w:val="24"/>
          <w:lang w:val="es-EC"/>
        </w:rPr>
        <w:t xml:space="preserve"> </w:t>
      </w:r>
    </w:p>
    <w:p w14:paraId="0DB8E3C0" w14:textId="77777777" w:rsidR="00DE52EF" w:rsidRPr="000F63B2" w:rsidRDefault="00DE52EF" w:rsidP="00DE52EF">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El consumo de alcohol es directa e inversamente proporcional al avance de la pandemia. </w:t>
      </w:r>
    </w:p>
    <w:p w14:paraId="0905F267" w14:textId="77777777" w:rsidR="00DE52EF" w:rsidRPr="000F63B2" w:rsidRDefault="00DE52EF" w:rsidP="00DE52EF">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El inicio del confinamiento produjo una crisis existencial, la misma que altera la afectividad y emotividad produciendo inestabilidad y ansiedad, lo que a su vez provoca un aumento de consumo de alcohol en los dos primeros meses de encierro.</w:t>
      </w:r>
    </w:p>
    <w:p w14:paraId="44310EFE" w14:textId="77777777" w:rsidR="00DE52EF" w:rsidRPr="000F63B2" w:rsidRDefault="00DE52EF" w:rsidP="00DE52EF">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El confinamiento con la familia es un elemento protector del consumo de alcohol.</w:t>
      </w:r>
    </w:p>
    <w:p w14:paraId="229EC9FE" w14:textId="77777777" w:rsidR="00BD6A65" w:rsidRPr="000F63B2" w:rsidRDefault="00DE52EF" w:rsidP="00BD6A65">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El estrés post traumático, compuesto de ansiedad, depresión, crisis de angustia, falta de sueño, según </w:t>
      </w:r>
      <w:proofErr w:type="spellStart"/>
      <w:r w:rsidRPr="000F63B2">
        <w:rPr>
          <w:rFonts w:ascii="Arial" w:hAnsi="Arial" w:cs="Arial"/>
          <w:bCs/>
          <w:sz w:val="24"/>
          <w:szCs w:val="24"/>
          <w:lang w:val="es-EC"/>
        </w:rPr>
        <w:t>Newby</w:t>
      </w:r>
      <w:proofErr w:type="spellEnd"/>
      <w:r w:rsidRPr="000F63B2">
        <w:rPr>
          <w:rFonts w:ascii="Arial" w:hAnsi="Arial" w:cs="Arial"/>
          <w:bCs/>
          <w:sz w:val="24"/>
          <w:szCs w:val="24"/>
          <w:lang w:val="es-EC"/>
        </w:rPr>
        <w:t>, Lee, Conejero y Monteiro, se mantiene durante la pandemia.</w:t>
      </w:r>
    </w:p>
    <w:p w14:paraId="14108CC7" w14:textId="77777777" w:rsidR="00BD6A65" w:rsidRPr="000F63B2" w:rsidRDefault="00BD6A65" w:rsidP="00BD6A65">
      <w:pPr>
        <w:spacing w:after="0" w:line="240" w:lineRule="auto"/>
        <w:jc w:val="both"/>
        <w:rPr>
          <w:rFonts w:ascii="Arial" w:hAnsi="Arial" w:cs="Arial"/>
          <w:bCs/>
          <w:sz w:val="24"/>
          <w:szCs w:val="24"/>
          <w:lang w:val="es-EC"/>
        </w:rPr>
      </w:pPr>
    </w:p>
    <w:p w14:paraId="364D29C0" w14:textId="59F55AE0" w:rsidR="00DE52EF" w:rsidRPr="000F63B2" w:rsidRDefault="00DE52EF" w:rsidP="00BD6A65">
      <w:pPr>
        <w:spacing w:after="0" w:line="240" w:lineRule="auto"/>
        <w:jc w:val="both"/>
        <w:rPr>
          <w:rFonts w:ascii="Arial" w:hAnsi="Arial" w:cs="Arial"/>
          <w:b/>
          <w:sz w:val="24"/>
          <w:szCs w:val="24"/>
          <w:lang w:val="es-EC"/>
        </w:rPr>
      </w:pPr>
      <w:r w:rsidRPr="000F63B2">
        <w:rPr>
          <w:rFonts w:ascii="Arial" w:hAnsi="Arial" w:cs="Arial"/>
          <w:b/>
          <w:sz w:val="24"/>
          <w:szCs w:val="24"/>
          <w:lang w:val="es-EC"/>
        </w:rPr>
        <w:t>RECOMENDACIONES</w:t>
      </w:r>
    </w:p>
    <w:p w14:paraId="6E4C39CA" w14:textId="77777777" w:rsidR="00BD6A65" w:rsidRPr="000F63B2" w:rsidRDefault="00BD6A65" w:rsidP="00BD6A65">
      <w:pPr>
        <w:spacing w:after="0" w:line="240" w:lineRule="auto"/>
        <w:jc w:val="both"/>
        <w:rPr>
          <w:rFonts w:ascii="Arial" w:hAnsi="Arial" w:cs="Arial"/>
          <w:b/>
          <w:sz w:val="24"/>
          <w:szCs w:val="24"/>
          <w:lang w:val="es-EC"/>
        </w:rPr>
      </w:pPr>
    </w:p>
    <w:p w14:paraId="494786FD" w14:textId="4A59B39C" w:rsidR="00DE52EF" w:rsidRPr="000F63B2" w:rsidRDefault="00DE52EF" w:rsidP="00BD6A65">
      <w:pPr>
        <w:spacing w:after="0" w:line="240" w:lineRule="auto"/>
        <w:jc w:val="both"/>
        <w:rPr>
          <w:rFonts w:ascii="Arial" w:hAnsi="Arial" w:cs="Arial"/>
          <w:bCs/>
          <w:sz w:val="24"/>
          <w:szCs w:val="24"/>
          <w:lang w:val="es-EC"/>
        </w:rPr>
      </w:pPr>
      <w:r w:rsidRPr="000F63B2">
        <w:rPr>
          <w:rFonts w:ascii="Arial" w:hAnsi="Arial" w:cs="Arial"/>
          <w:bCs/>
          <w:sz w:val="24"/>
          <w:szCs w:val="24"/>
          <w:lang w:val="es-EC"/>
        </w:rPr>
        <w:t>Es necesario y obligatorio que los Estados y los Ministerios de Salud, aprovechen los hallazgos encontrados para que mejoren su política pública para mejorar la salud de la población y estar preparados, para otra emergencia sanitaria. Por tanto, se propone</w:t>
      </w:r>
    </w:p>
    <w:p w14:paraId="58126263" w14:textId="77777777" w:rsidR="00DE52EF" w:rsidRPr="000F63B2" w:rsidRDefault="00DE52EF" w:rsidP="00DE52EF">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Capacitar a la población y personal de salud como sobrellevar el confinamiento para mejorar los problemas de estrés y angustia, por medio de intervenciones psicológicas en la comunidad.</w:t>
      </w:r>
    </w:p>
    <w:p w14:paraId="54555EEF" w14:textId="77777777" w:rsidR="00DE52EF" w:rsidRPr="000F63B2" w:rsidRDefault="00DE52EF" w:rsidP="00DE52EF">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Contar con psicólogos suficientes para afrontar y apoyar en la salud mental de la población. </w:t>
      </w:r>
    </w:p>
    <w:p w14:paraId="6A27D109" w14:textId="77777777" w:rsidR="00DE52EF" w:rsidRPr="000F63B2" w:rsidRDefault="00DE52EF" w:rsidP="00DE52EF">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Mejorar el sistema de atención de salud mental estatal.</w:t>
      </w:r>
    </w:p>
    <w:p w14:paraId="148B3AC9" w14:textId="77777777" w:rsidR="00DE52EF" w:rsidRPr="000F63B2" w:rsidRDefault="00DE52EF" w:rsidP="00DE52EF">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Contar con un plan sistémico para apoyar la salud del comportamiento donde los ciudadanos participen en la prevención.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{"citationID":"2r7QQLG6","properties":{"formattedCitation":"(Hansel et\\uc0\\u160{}al., 2020)","plainCitation":"(Hansel et al., 2020)","dontUpdate":true,"noteIndex":0},"citationItems":[{"id":"cPSG7McT/hda9vALC","uris":["http://zotero.org/users/local/HWFDfxM3/items/X9TGSV5F"],"uri":["http://zotero.org/users/local/HWFDfxM3/items/X9TGSV5F"],"itemData":{"id":471,"type":"article-journal","abstract":"Research from financial stress, disasters, pandemics, and other extreme events,  suggests that behavioral health will suffer, including anxiety, depression, and  posttraumatic stress symptoms. Furthermore, these symptoms are likely to exacerbate  alcohol or drug use, especially for those vulnerable to relapse. The nature of  coronavirus disease 2019 (COVID-19) and vast reach of the virus, leave many unknows  for the repercussions on behavioral health, yet existing research suggests that  behavioral health concerns should take a primary role in response to the pandemic.  We propose a 4-step services system designed for implementation with a variety of  different groups and reserves limited clinical services for the most extreme  reactions. While we can expect symptoms to remit overtime, many will also have  longer-term or more severe concerns. Behavioral health interventions will likely  need to change overtime and different types of interventions should be considered  for different target groups, such as for those who recover from COVID-19,  health-care professionals, and essential personnel; and the general public either  due to loss of loved ones or significant life disruption. The important thing is to  have a systematic plan to support behavioral health and to engage citizens in  prevention and doing their part in recovery by staying home and protecting others.","container-title":"Disaster medicine and public health preparedness","DOI":"10.1017/dmp.2020.180","ISSN":"1938-744X 1935-7893 1935-7893","journalAbbreviation":"Disaster Med Public Health Prep","language":"eng","note":"PMID: 32469297 \nPMCID: PMC7306553","page":"1-7","title":"Behavioral Health and Response for COVID-19.","author":[{"family":"Hansel","given":"Tonya Cross"},{"family":"Saltzman","given":"Leia Y."},{"family":"Bordnick","given":"Patrick S."}],"issued":{"date-parts":[["2020",5,29]]}}}],"schema":"https://github.com/citation-style-language/schema/raw/master/csl-citation.json"}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Hansel et al (2020)</w:t>
      </w:r>
      <w:r w:rsidRPr="000F63B2">
        <w:rPr>
          <w:rFonts w:ascii="Arial" w:hAnsi="Arial" w:cs="Arial"/>
          <w:bCs/>
          <w:sz w:val="24"/>
          <w:szCs w:val="24"/>
          <w:lang w:val="es-MX"/>
        </w:rPr>
        <w:fldChar w:fldCharType="end"/>
      </w:r>
    </w:p>
    <w:p w14:paraId="60207638" w14:textId="77777777" w:rsidR="00BD6A65" w:rsidRPr="000F63B2" w:rsidRDefault="00DE52EF" w:rsidP="00BD6A65">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Crear y/o fortalecer redes de apoyo psicológico comunitario. </w:t>
      </w:r>
      <w:r w:rsidRPr="000F63B2">
        <w:rPr>
          <w:rFonts w:ascii="Arial" w:hAnsi="Arial" w:cs="Arial"/>
          <w:bCs/>
          <w:sz w:val="24"/>
          <w:szCs w:val="24"/>
          <w:lang w:val="es-EC"/>
        </w:rPr>
        <w:fldChar w:fldCharType="begin"/>
      </w:r>
      <w:r w:rsidRPr="000F63B2">
        <w:rPr>
          <w:rFonts w:ascii="Arial" w:hAnsi="Arial" w:cs="Arial"/>
          <w:bCs/>
          <w:sz w:val="24"/>
          <w:szCs w:val="24"/>
          <w:lang w:val="es-EC"/>
        </w:rPr>
        <w:instrText xml:space="preserve"> ADDIN ZOTERO_ITEM CSL_CITATION {"citationID":"2EbO0qsF","properties":{"formattedCitation":"(Ahmad et\\uc0\\u160{}al., 2020)","plainCitation":"(Ahmad et al., 2020)","dontUpdate":true,"noteIndex":0},"citationItems":[{"id":"cPSG7McT/rxYpYh54","uris":["http://zotero.org/users/local/HWFDfxM3/items/UEVD3IG7"],"uri":["http://zotero.org/users/local/HWFDfxM3/items/UEVD3IG7"],"itemData":{"id":631,"type":"article-journal","abstract":"INTRODUCTION: Mental health conditions like depression and anxiety are on the rise,  but access to care remains a challenge. Immigrants and racialized communities  including Chinese Canadians experience high level of access barriers including  communication with clinicians. With the aim to facilitate mental health  communications, we tested an Interactive Computer-assisted Client Assessment Survey  (iCCAS) in Cantonese/Mandarin and English at a nurse practitioner-led primary care  clinic in Toronto. The iCCAS offers a touch-screen, pre-consultation survey with  questions on depression, anxiety, post-traumatic stress, alcohol abuse, and social  context. The program generates point-of-care reports for the clinician and patient.  METHODS: A pilot randomized controlled trial examined the intervention impact on  mental health discussion and symptom detection, compared with the usual care,  followed by clinicians' qualitative interviews. RESULTS: Fifty self-identified  Chinese adult patients participated (iCCAS = 26, Usual Care = 24), response rate  79.4%. Participant mean age was 44.8 years and 92% were immigrants. There was an  increase of 19% and 15% in the mental health discussion and detection of symptoms in  the iCCAS group compared with the usual care. More participants in the iCCAS group  were referred to a social worker or psychiatrist. Patients found the use of iCCAS  easy and clinicians identified its benefits for themselves (eg, early identification  and comfort) and patients (eg, self-awareness and anonymity) and proposed  practice-integration. DISCUSSION: The studied tool holds promise for enhancing  clinician-patient mental health communications in primary care settings for overseas  Chinese. Implications are discussed for in-person and virtual healthcare which could  also inform responses to mental health crisis related to COVID-19.","container-title":"Asia-Pacific psychiatry : official journal of the Pacific Rim College of  Psychiatrists","DOI":"10.1111/appy.12400","ISSN":"1758-5872 1758-5864","journalAbbreviation":"Asia Pac Psychiatry","language":"eng","note":"publisher-place: Australia\nPMID: 32608131","page":"e12400","title":"Interactive mental health assessments for Chinese Canadians: A pilot randomized  controlled trial in nurse practitioner-led primary care clinic.","author":[{"family":"Ahmad","given":"Farah"},{"family":"Wang","given":"Jamie"},{"family":"Wong","given":"Bonnie"},{"family":"Fung","given":"Wai Lun Alan"}],"issued":{"date-parts":[["2020",6,30]]}}}],"schema":"https://github.com/citation-style-language/schema/raw/master/csl-citation.json"} </w:instrText>
      </w:r>
      <w:r w:rsidRPr="000F63B2">
        <w:rPr>
          <w:rFonts w:ascii="Arial" w:hAnsi="Arial" w:cs="Arial"/>
          <w:bCs/>
          <w:sz w:val="24"/>
          <w:szCs w:val="24"/>
          <w:lang w:val="es-EC"/>
        </w:rPr>
        <w:fldChar w:fldCharType="separate"/>
      </w:r>
      <w:r w:rsidRPr="000F63B2">
        <w:rPr>
          <w:rFonts w:ascii="Arial" w:hAnsi="Arial" w:cs="Arial"/>
          <w:bCs/>
          <w:sz w:val="24"/>
          <w:szCs w:val="24"/>
          <w:lang w:val="es-EC"/>
        </w:rPr>
        <w:t>Ahmad et al (2020)</w:t>
      </w:r>
      <w:r w:rsidRPr="000F63B2">
        <w:rPr>
          <w:rFonts w:ascii="Arial" w:hAnsi="Arial" w:cs="Arial"/>
          <w:bCs/>
          <w:sz w:val="24"/>
          <w:szCs w:val="24"/>
          <w:lang w:val="es-MX"/>
        </w:rPr>
        <w:fldChar w:fldCharType="end"/>
      </w:r>
      <w:r w:rsidRPr="000F63B2">
        <w:rPr>
          <w:rFonts w:ascii="Arial" w:hAnsi="Arial" w:cs="Arial"/>
          <w:bCs/>
          <w:sz w:val="24"/>
          <w:szCs w:val="24"/>
          <w:lang w:val="es-EC"/>
        </w:rPr>
        <w:t>, capacitar al personal de la salud en técnicas de control emocional.</w:t>
      </w:r>
    </w:p>
    <w:p w14:paraId="0894AFF0" w14:textId="450B5A11" w:rsidR="00DE52EF" w:rsidRPr="000F63B2" w:rsidRDefault="00DE52EF" w:rsidP="00BD6A65">
      <w:pPr>
        <w:spacing w:after="0" w:line="240" w:lineRule="auto"/>
        <w:ind w:firstLine="426"/>
        <w:jc w:val="both"/>
        <w:rPr>
          <w:rFonts w:ascii="Arial" w:hAnsi="Arial" w:cs="Arial"/>
          <w:sz w:val="24"/>
          <w:szCs w:val="24"/>
          <w:lang w:val="es-EC"/>
        </w:rPr>
      </w:pPr>
      <w:r w:rsidRPr="000F63B2">
        <w:rPr>
          <w:rFonts w:ascii="Arial" w:hAnsi="Arial" w:cs="Arial"/>
          <w:sz w:val="24"/>
          <w:szCs w:val="24"/>
          <w:lang w:val="es-EC"/>
        </w:rPr>
        <w:t xml:space="preserve">El gobierno, debe cubrir las necesidades básicas en un desastre o pandemia, en especial las emocionales como el estrés creando un entorno de apoyo para las personas </w:t>
      </w:r>
      <w:r w:rsidRPr="0023639B">
        <w:rPr>
          <w:rFonts w:ascii="Arial" w:hAnsi="Arial" w:cs="Arial"/>
          <w:bCs/>
          <w:sz w:val="24"/>
          <w:szCs w:val="24"/>
          <w:lang w:val="es-EC"/>
        </w:rPr>
        <w:t>que sufren de estrés ya que la afectación psicológica puede superar la capacidad normal de reacción positiva al mismo.</w:t>
      </w:r>
      <w:r w:rsidR="0023639B" w:rsidRPr="0023639B">
        <w:rPr>
          <w:rFonts w:ascii="Arial" w:hAnsi="Arial" w:cs="Arial"/>
          <w:bCs/>
          <w:sz w:val="24"/>
          <w:szCs w:val="24"/>
          <w:lang w:val="es-EC"/>
        </w:rPr>
        <w:t xml:space="preserve"> El ser humano, requiere de un “comportamiento signado por: responsabilidad, confianza, entusiasmo, estabilidad y equilibrio emocional” (Castillo, 2015. p. 199)</w:t>
      </w:r>
    </w:p>
    <w:p w14:paraId="4B2E4455" w14:textId="77777777" w:rsidR="00DE52EF" w:rsidRPr="000F63B2" w:rsidRDefault="00DE52EF" w:rsidP="00DE52EF">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Se requiere más investigación sobre la epidemiología de otros trastornos de salud mental no solamente del estrés, y obtener datos sobre conductas autolesivas, o autolíticas, así como la dependencia de sustancias, es necesario la incorporación </w:t>
      </w:r>
      <w:r w:rsidRPr="000F63B2">
        <w:rPr>
          <w:rFonts w:ascii="Arial" w:hAnsi="Arial" w:cs="Arial"/>
          <w:bCs/>
          <w:sz w:val="24"/>
          <w:szCs w:val="24"/>
          <w:lang w:val="es-EC"/>
        </w:rPr>
        <w:lastRenderedPageBreak/>
        <w:t>de estrategias de prevención del suicidio en los centros de salud manejados por la autoridad sanitaria, para prevención y reducción de daños.</w:t>
      </w:r>
    </w:p>
    <w:p w14:paraId="490048EB" w14:textId="3CEC0DB2" w:rsidR="00DE52EF" w:rsidRPr="000F63B2" w:rsidRDefault="00DE52EF" w:rsidP="00DE52EF">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 xml:space="preserve">  Las   restricciones de los gobiernos en cuanto a la venta de licor y cierre de locales de diversión, no han logrado una disminución importante del consumo de alcohol en actividades psicosociales, y psicoeducativas.</w:t>
      </w:r>
    </w:p>
    <w:p w14:paraId="66D0099E" w14:textId="77777777" w:rsidR="006A07F4" w:rsidRPr="000F63B2" w:rsidRDefault="00DE52EF" w:rsidP="006A07F4">
      <w:pPr>
        <w:spacing w:after="0" w:line="240" w:lineRule="auto"/>
        <w:ind w:firstLine="426"/>
        <w:jc w:val="both"/>
        <w:rPr>
          <w:rFonts w:ascii="Arial" w:hAnsi="Arial" w:cs="Arial"/>
          <w:bCs/>
          <w:sz w:val="24"/>
          <w:szCs w:val="24"/>
          <w:lang w:val="es-EC"/>
        </w:rPr>
      </w:pPr>
      <w:r w:rsidRPr="000F63B2">
        <w:rPr>
          <w:rFonts w:ascii="Arial" w:hAnsi="Arial" w:cs="Arial"/>
          <w:bCs/>
          <w:sz w:val="24"/>
          <w:szCs w:val="24"/>
          <w:lang w:val="es-EC"/>
        </w:rPr>
        <w:t>El consumo de alcohol debe ser prevenido especialmente desde la infancia.</w:t>
      </w:r>
    </w:p>
    <w:p w14:paraId="5EE721F7" w14:textId="4D9EF955" w:rsidR="00DE52EF" w:rsidRPr="000F63B2" w:rsidRDefault="00DE52EF" w:rsidP="006A07F4">
      <w:pPr>
        <w:spacing w:after="0" w:line="240" w:lineRule="auto"/>
        <w:jc w:val="both"/>
        <w:rPr>
          <w:rFonts w:ascii="Arial" w:hAnsi="Arial" w:cs="Arial"/>
          <w:bCs/>
          <w:sz w:val="24"/>
          <w:szCs w:val="24"/>
          <w:lang w:val="es-EC"/>
        </w:rPr>
      </w:pPr>
      <w:r w:rsidRPr="000F63B2">
        <w:rPr>
          <w:rFonts w:ascii="Arial" w:hAnsi="Arial" w:cs="Arial"/>
          <w:bCs/>
          <w:sz w:val="24"/>
          <w:szCs w:val="24"/>
          <w:lang w:val="es-EC"/>
        </w:rPr>
        <w:t>Los Estados están obligados a dar tratamiento con protocolos, programas, recursos humanos especializados para llevar a los pacientes a su recuperación y minimizar las recaídas.</w:t>
      </w:r>
    </w:p>
    <w:p w14:paraId="13BB860B" w14:textId="08F1A060" w:rsidR="00BA58B8" w:rsidRPr="000F63B2" w:rsidRDefault="00BA58B8" w:rsidP="005271E4">
      <w:pPr>
        <w:spacing w:after="0" w:line="240" w:lineRule="auto"/>
        <w:ind w:firstLine="426"/>
        <w:jc w:val="both"/>
        <w:rPr>
          <w:rFonts w:ascii="Arial" w:hAnsi="Arial" w:cs="Arial"/>
          <w:bCs/>
          <w:sz w:val="24"/>
          <w:szCs w:val="24"/>
          <w:lang w:val="es-EC"/>
        </w:rPr>
      </w:pPr>
    </w:p>
    <w:p w14:paraId="736E0EE0" w14:textId="77777777" w:rsidR="00BD6A65" w:rsidRPr="000F63B2" w:rsidRDefault="005271E4" w:rsidP="00BD6A65">
      <w:pPr>
        <w:spacing w:after="0" w:line="240" w:lineRule="auto"/>
        <w:jc w:val="both"/>
        <w:rPr>
          <w:rFonts w:ascii="Arial" w:hAnsi="Arial" w:cs="Arial"/>
          <w:b/>
          <w:sz w:val="24"/>
          <w:szCs w:val="24"/>
          <w:lang w:val="en-US"/>
        </w:rPr>
      </w:pPr>
      <w:r w:rsidRPr="000F63B2">
        <w:rPr>
          <w:rFonts w:ascii="Arial" w:hAnsi="Arial" w:cs="Arial"/>
          <w:b/>
          <w:sz w:val="24"/>
          <w:szCs w:val="24"/>
          <w:lang w:val="en-US"/>
        </w:rPr>
        <w:t>REFERENCIAS</w:t>
      </w:r>
    </w:p>
    <w:p w14:paraId="38444B3C" w14:textId="77777777" w:rsidR="00BD6A65" w:rsidRPr="000F63B2" w:rsidRDefault="00BD6A65" w:rsidP="00BD6A65">
      <w:pPr>
        <w:spacing w:after="0" w:line="240" w:lineRule="auto"/>
        <w:jc w:val="both"/>
        <w:rPr>
          <w:rFonts w:ascii="Arial" w:hAnsi="Arial" w:cs="Arial"/>
          <w:b/>
          <w:sz w:val="24"/>
          <w:szCs w:val="24"/>
          <w:lang w:val="en-US"/>
        </w:rPr>
      </w:pPr>
    </w:p>
    <w:p w14:paraId="39E46ACF" w14:textId="18C9E20A" w:rsidR="00BD6A65" w:rsidRPr="000F63B2" w:rsidRDefault="0054283A" w:rsidP="00BD6A65">
      <w:pPr>
        <w:spacing w:after="0" w:line="240" w:lineRule="auto"/>
        <w:ind w:left="709" w:hanging="709"/>
        <w:jc w:val="both"/>
        <w:rPr>
          <w:rFonts w:ascii="Arial" w:hAnsi="Arial" w:cs="Arial"/>
          <w:lang w:val="en-US"/>
        </w:rPr>
      </w:pPr>
      <w:r w:rsidRPr="000F63B2">
        <w:rPr>
          <w:rFonts w:ascii="Arial" w:hAnsi="Arial" w:cs="Arial"/>
          <w:lang w:val="en-US"/>
        </w:rPr>
        <w:t xml:space="preserve">Ahmad, F., Wang, J., Wong, B., &amp; Fung, W. L. A. (2020). Interactive mental health assessments for Chinese Canadians: A pilot randomized controlled trial in nurse practitioner-led primary care clinic. </w:t>
      </w:r>
      <w:r w:rsidRPr="000F63B2">
        <w:rPr>
          <w:rFonts w:ascii="Arial" w:hAnsi="Arial" w:cs="Arial"/>
          <w:i/>
          <w:iCs/>
          <w:lang w:val="en-US"/>
        </w:rPr>
        <w:t>Asia-Pacific Psychiatry: Official Journal of the Pacific Rim College of</w:t>
      </w:r>
      <w:r w:rsidR="00BD6A65" w:rsidRPr="000F63B2">
        <w:rPr>
          <w:rFonts w:ascii="Arial" w:hAnsi="Arial" w:cs="Arial"/>
          <w:i/>
          <w:iCs/>
          <w:lang w:val="en-US"/>
        </w:rPr>
        <w:t xml:space="preserve"> </w:t>
      </w:r>
      <w:r w:rsidRPr="000F63B2">
        <w:rPr>
          <w:rFonts w:ascii="Arial" w:hAnsi="Arial" w:cs="Arial"/>
          <w:i/>
          <w:iCs/>
          <w:lang w:val="en-US"/>
        </w:rPr>
        <w:t>Psychiatrists</w:t>
      </w:r>
      <w:r w:rsidRPr="000F63B2">
        <w:rPr>
          <w:rFonts w:ascii="Arial" w:hAnsi="Arial" w:cs="Arial"/>
          <w:lang w:val="en-US"/>
        </w:rPr>
        <w:t xml:space="preserve">, e12400. </w:t>
      </w:r>
      <w:r w:rsidR="00BD6A65" w:rsidRPr="000F63B2">
        <w:rPr>
          <w:rFonts w:ascii="Arial" w:hAnsi="Arial" w:cs="Arial"/>
          <w:lang w:val="en-US"/>
        </w:rPr>
        <w:t>https://doi.org/10.1111/appy.12400</w:t>
      </w:r>
    </w:p>
    <w:p w14:paraId="677099E7" w14:textId="77777777" w:rsidR="00BD6A65" w:rsidRPr="000F63B2" w:rsidRDefault="0054283A" w:rsidP="00BD6A65">
      <w:pPr>
        <w:spacing w:after="0" w:line="240" w:lineRule="auto"/>
        <w:ind w:left="709" w:hanging="709"/>
        <w:jc w:val="both"/>
        <w:rPr>
          <w:rFonts w:ascii="Arial" w:hAnsi="Arial" w:cs="Arial"/>
        </w:rPr>
      </w:pPr>
      <w:r w:rsidRPr="000F63B2">
        <w:rPr>
          <w:rFonts w:ascii="Arial" w:hAnsi="Arial" w:cs="Arial"/>
          <w:lang w:val="es-EC"/>
        </w:rPr>
        <w:t xml:space="preserve">Álvarez, Leticia </w:t>
      </w:r>
      <w:proofErr w:type="spellStart"/>
      <w:r w:rsidRPr="000F63B2">
        <w:rPr>
          <w:rFonts w:ascii="Arial" w:hAnsi="Arial" w:cs="Arial"/>
          <w:lang w:val="es-EC"/>
        </w:rPr>
        <w:t>Garcia</w:t>
      </w:r>
      <w:proofErr w:type="spellEnd"/>
      <w:r w:rsidRPr="000F63B2">
        <w:rPr>
          <w:rFonts w:ascii="Arial" w:hAnsi="Arial" w:cs="Arial"/>
          <w:lang w:val="es-EC"/>
        </w:rPr>
        <w:t xml:space="preserve">. </w:t>
      </w:r>
      <w:r w:rsidRPr="000F63B2">
        <w:rPr>
          <w:rFonts w:ascii="Arial" w:hAnsi="Arial" w:cs="Arial"/>
        </w:rPr>
        <w:t xml:space="preserve">(2020). ¿Se observarán cambios en el consumo de alcohol y tabaco durante el confinamiento por COVID-19? </w:t>
      </w:r>
      <w:r w:rsidRPr="000F63B2">
        <w:rPr>
          <w:rFonts w:ascii="Arial" w:hAnsi="Arial" w:cs="Arial"/>
          <w:i/>
          <w:iCs/>
        </w:rPr>
        <w:t>Abril, 2020</w:t>
      </w:r>
      <w:r w:rsidRPr="000F63B2">
        <w:rPr>
          <w:rFonts w:ascii="Arial" w:hAnsi="Arial" w:cs="Arial"/>
        </w:rPr>
        <w:t xml:space="preserve">, </w:t>
      </w:r>
      <w:r w:rsidRPr="000F63B2">
        <w:rPr>
          <w:rFonts w:ascii="Arial" w:hAnsi="Arial" w:cs="Arial"/>
          <w:i/>
          <w:iCs/>
        </w:rPr>
        <w:t>32, n</w:t>
      </w:r>
      <w:r w:rsidRPr="000F63B2">
        <w:rPr>
          <w:rFonts w:ascii="Arial" w:hAnsi="Arial" w:cs="Arial"/>
          <w:i/>
          <w:iCs/>
          <w:vertAlign w:val="superscript"/>
        </w:rPr>
        <w:t>o</w:t>
      </w:r>
      <w:r w:rsidRPr="000F63B2">
        <w:rPr>
          <w:rFonts w:ascii="Arial" w:hAnsi="Arial" w:cs="Arial"/>
          <w:i/>
          <w:iCs/>
        </w:rPr>
        <w:t xml:space="preserve"> 2 · 2020</w:t>
      </w:r>
      <w:r w:rsidRPr="000F63B2">
        <w:rPr>
          <w:rFonts w:ascii="Arial" w:hAnsi="Arial" w:cs="Arial"/>
        </w:rPr>
        <w:t>(n</w:t>
      </w:r>
      <w:r w:rsidRPr="000F63B2">
        <w:rPr>
          <w:rFonts w:ascii="Arial" w:hAnsi="Arial" w:cs="Arial"/>
          <w:vertAlign w:val="superscript"/>
        </w:rPr>
        <w:t>o</w:t>
      </w:r>
      <w:r w:rsidRPr="000F63B2">
        <w:rPr>
          <w:rFonts w:ascii="Arial" w:hAnsi="Arial" w:cs="Arial"/>
        </w:rPr>
        <w:t xml:space="preserve"> 2), PÁGS. 85-89.</w:t>
      </w:r>
    </w:p>
    <w:p w14:paraId="571427EB" w14:textId="77777777" w:rsidR="00BD6A65" w:rsidRPr="000F63B2" w:rsidRDefault="0054283A" w:rsidP="00BD6A65">
      <w:pPr>
        <w:spacing w:after="0" w:line="240" w:lineRule="auto"/>
        <w:ind w:left="709" w:hanging="709"/>
        <w:jc w:val="both"/>
        <w:rPr>
          <w:rFonts w:ascii="Arial" w:hAnsi="Arial" w:cs="Arial"/>
          <w:lang w:val="en-US"/>
        </w:rPr>
      </w:pPr>
      <w:r w:rsidRPr="000F63B2">
        <w:rPr>
          <w:rFonts w:ascii="Arial" w:hAnsi="Arial" w:cs="Arial"/>
        </w:rPr>
        <w:t xml:space="preserve">Anderson P, Gual A, Colon J. (2008). </w:t>
      </w:r>
      <w:r w:rsidRPr="000F63B2">
        <w:rPr>
          <w:rFonts w:ascii="Arial" w:hAnsi="Arial" w:cs="Arial"/>
          <w:i/>
          <w:iCs/>
        </w:rPr>
        <w:t xml:space="preserve">Alcohol y atención primaria de la salud </w:t>
      </w:r>
      <w:proofErr w:type="spellStart"/>
      <w:r w:rsidRPr="000F63B2">
        <w:rPr>
          <w:rFonts w:ascii="Arial" w:hAnsi="Arial" w:cs="Arial"/>
          <w:i/>
          <w:iCs/>
        </w:rPr>
        <w:t>InformacIones</w:t>
      </w:r>
      <w:proofErr w:type="spellEnd"/>
      <w:r w:rsidRPr="000F63B2">
        <w:rPr>
          <w:rFonts w:ascii="Arial" w:hAnsi="Arial" w:cs="Arial"/>
          <w:i/>
          <w:iCs/>
        </w:rPr>
        <w:t xml:space="preserve"> </w:t>
      </w:r>
      <w:proofErr w:type="spellStart"/>
      <w:r w:rsidRPr="000F63B2">
        <w:rPr>
          <w:rFonts w:ascii="Arial" w:hAnsi="Arial" w:cs="Arial"/>
          <w:i/>
          <w:iCs/>
        </w:rPr>
        <w:t>clínIcas</w:t>
      </w:r>
      <w:proofErr w:type="spellEnd"/>
      <w:r w:rsidRPr="000F63B2">
        <w:rPr>
          <w:rFonts w:ascii="Arial" w:hAnsi="Arial" w:cs="Arial"/>
          <w:i/>
          <w:iCs/>
        </w:rPr>
        <w:t xml:space="preserve"> </w:t>
      </w:r>
      <w:proofErr w:type="spellStart"/>
      <w:r w:rsidRPr="000F63B2">
        <w:rPr>
          <w:rFonts w:ascii="Arial" w:hAnsi="Arial" w:cs="Arial"/>
          <w:i/>
          <w:iCs/>
        </w:rPr>
        <w:t>básIcas</w:t>
      </w:r>
      <w:proofErr w:type="spellEnd"/>
      <w:r w:rsidRPr="000F63B2">
        <w:rPr>
          <w:rFonts w:ascii="Arial" w:hAnsi="Arial" w:cs="Arial"/>
          <w:i/>
          <w:iCs/>
        </w:rPr>
        <w:t xml:space="preserve"> para la</w:t>
      </w:r>
      <w:r w:rsidR="00BD6A65" w:rsidRPr="000F63B2">
        <w:rPr>
          <w:rFonts w:ascii="Arial" w:hAnsi="Arial" w:cs="Arial"/>
          <w:i/>
          <w:iCs/>
        </w:rPr>
        <w:t xml:space="preserve"> </w:t>
      </w:r>
      <w:proofErr w:type="spellStart"/>
      <w:r w:rsidRPr="000F63B2">
        <w:rPr>
          <w:rFonts w:ascii="Arial" w:hAnsi="Arial" w:cs="Arial"/>
          <w:i/>
          <w:iCs/>
        </w:rPr>
        <w:t>IdentIfIcacIón</w:t>
      </w:r>
      <w:proofErr w:type="spellEnd"/>
      <w:r w:rsidRPr="000F63B2">
        <w:rPr>
          <w:rFonts w:ascii="Arial" w:hAnsi="Arial" w:cs="Arial"/>
          <w:i/>
          <w:iCs/>
        </w:rPr>
        <w:t xml:space="preserve"> y el manejo de </w:t>
      </w:r>
      <w:proofErr w:type="spellStart"/>
      <w:r w:rsidRPr="000F63B2">
        <w:rPr>
          <w:rFonts w:ascii="Arial" w:hAnsi="Arial" w:cs="Arial"/>
          <w:i/>
          <w:iCs/>
        </w:rPr>
        <w:t>rIesgos</w:t>
      </w:r>
      <w:proofErr w:type="spellEnd"/>
      <w:r w:rsidRPr="000F63B2">
        <w:rPr>
          <w:rFonts w:ascii="Arial" w:hAnsi="Arial" w:cs="Arial"/>
          <w:i/>
          <w:iCs/>
        </w:rPr>
        <w:t xml:space="preserve"> y problemas</w:t>
      </w:r>
      <w:r w:rsidRPr="000F63B2">
        <w:rPr>
          <w:rFonts w:ascii="Arial" w:hAnsi="Arial" w:cs="Arial"/>
        </w:rPr>
        <w:t xml:space="preserve"> (O.M.S</w:t>
      </w:r>
      <w:r w:rsidR="00BD6A65" w:rsidRPr="000F63B2">
        <w:rPr>
          <w:rFonts w:ascii="Arial" w:hAnsi="Arial" w:cs="Arial"/>
        </w:rPr>
        <w:t xml:space="preserve"> </w:t>
      </w:r>
      <w:proofErr w:type="spellStart"/>
      <w:r w:rsidRPr="000F63B2">
        <w:rPr>
          <w:rFonts w:ascii="Arial" w:hAnsi="Arial" w:cs="Arial"/>
        </w:rPr>
        <w:t>Maristela</w:t>
      </w:r>
      <w:proofErr w:type="spellEnd"/>
      <w:r w:rsidRPr="000F63B2">
        <w:rPr>
          <w:rFonts w:ascii="Arial" w:hAnsi="Arial" w:cs="Arial"/>
        </w:rPr>
        <w:t xml:space="preserve"> Monteiro). </w:t>
      </w:r>
      <w:r w:rsidRPr="000F63B2">
        <w:rPr>
          <w:rFonts w:ascii="Arial" w:hAnsi="Arial" w:cs="Arial"/>
          <w:lang w:val="en-US"/>
        </w:rPr>
        <w:t>Pan American Health Organization.</w:t>
      </w:r>
    </w:p>
    <w:p w14:paraId="3DB4680A" w14:textId="49B16AE2" w:rsidR="0023639B" w:rsidRPr="00E750CA" w:rsidRDefault="0054283A" w:rsidP="0023639B">
      <w:pPr>
        <w:spacing w:after="0" w:line="240" w:lineRule="auto"/>
        <w:ind w:left="709" w:hanging="709"/>
        <w:jc w:val="both"/>
        <w:rPr>
          <w:rFonts w:ascii="Arial" w:hAnsi="Arial" w:cs="Arial"/>
          <w:lang w:val="en-US"/>
        </w:rPr>
      </w:pPr>
      <w:proofErr w:type="spellStart"/>
      <w:r w:rsidRPr="000F63B2">
        <w:rPr>
          <w:rFonts w:ascii="Arial" w:hAnsi="Arial" w:cs="Arial"/>
          <w:lang w:val="en-US"/>
        </w:rPr>
        <w:t>Boscarino</w:t>
      </w:r>
      <w:proofErr w:type="spellEnd"/>
      <w:r w:rsidRPr="0023639B">
        <w:rPr>
          <w:rFonts w:ascii="Arial" w:hAnsi="Arial" w:cs="Arial"/>
          <w:lang w:val="en-US"/>
        </w:rPr>
        <w:t xml:space="preserve">, J., Adams, R., &amp; Galea, S. (2006). Alcohol Use in New York after the Terrorist Attacks: A Study of the Effects of Psychological Trauma on Drinking Behavior. </w:t>
      </w:r>
      <w:r w:rsidRPr="0023639B">
        <w:rPr>
          <w:rFonts w:ascii="Arial" w:hAnsi="Arial" w:cs="Arial"/>
          <w:i/>
          <w:iCs/>
          <w:lang w:val="en-US"/>
        </w:rPr>
        <w:t>Addictive behaviors</w:t>
      </w:r>
      <w:r w:rsidRPr="0023639B">
        <w:rPr>
          <w:rFonts w:ascii="Arial" w:hAnsi="Arial" w:cs="Arial"/>
          <w:lang w:val="en-US"/>
        </w:rPr>
        <w:t xml:space="preserve">, </w:t>
      </w:r>
      <w:r w:rsidRPr="0023639B">
        <w:rPr>
          <w:rFonts w:ascii="Arial" w:hAnsi="Arial" w:cs="Arial"/>
          <w:i/>
          <w:iCs/>
          <w:lang w:val="en-US"/>
        </w:rPr>
        <w:t>31</w:t>
      </w:r>
      <w:r w:rsidRPr="0023639B">
        <w:rPr>
          <w:rFonts w:ascii="Arial" w:hAnsi="Arial" w:cs="Arial"/>
          <w:lang w:val="en-US"/>
        </w:rPr>
        <w:t xml:space="preserve">, 606-621. </w:t>
      </w:r>
      <w:r w:rsidR="0023639B" w:rsidRPr="00E750CA">
        <w:rPr>
          <w:rFonts w:ascii="Arial" w:hAnsi="Arial" w:cs="Arial"/>
          <w:lang w:val="en-US"/>
        </w:rPr>
        <w:t>https://doi.org/10.1016/j.addbeh.2005.05.035</w:t>
      </w:r>
      <w:r w:rsidR="00BD6A65" w:rsidRPr="00E750CA">
        <w:rPr>
          <w:rFonts w:ascii="Arial" w:hAnsi="Arial" w:cs="Arial"/>
          <w:lang w:val="en-US"/>
        </w:rPr>
        <w:t>.</w:t>
      </w:r>
    </w:p>
    <w:p w14:paraId="1CD09809" w14:textId="6A89A60E" w:rsidR="0023639B" w:rsidRPr="00E750CA" w:rsidRDefault="0023639B" w:rsidP="0023639B">
      <w:pPr>
        <w:spacing w:after="0" w:line="240" w:lineRule="auto"/>
        <w:ind w:left="709" w:hanging="709"/>
        <w:jc w:val="both"/>
        <w:rPr>
          <w:rFonts w:ascii="Arial" w:hAnsi="Arial" w:cs="Arial"/>
          <w:lang w:val="en-US"/>
        </w:rPr>
      </w:pPr>
      <w:r w:rsidRPr="00E750CA">
        <w:rPr>
          <w:rFonts w:ascii="Arial" w:hAnsi="Arial" w:cs="Arial"/>
          <w:lang w:val="en-US"/>
        </w:rPr>
        <w:t xml:space="preserve">Castillo-Bustos, M. y Montoya-Rivera, J. (2015). </w:t>
      </w:r>
      <w:r w:rsidRPr="0023639B">
        <w:rPr>
          <w:rFonts w:ascii="Arial" w:hAnsi="Arial" w:cs="Arial"/>
        </w:rPr>
        <w:t xml:space="preserve">Dinámica ideo-espiritual de la formación estético-pedagógica del docente. </w:t>
      </w:r>
      <w:proofErr w:type="spellStart"/>
      <w:r w:rsidRPr="0023639B">
        <w:rPr>
          <w:rFonts w:ascii="Arial" w:hAnsi="Arial" w:cs="Arial"/>
          <w:lang w:val="en-US"/>
        </w:rPr>
        <w:t>Alteridad</w:t>
      </w:r>
      <w:proofErr w:type="spellEnd"/>
      <w:r w:rsidRPr="0023639B">
        <w:rPr>
          <w:rFonts w:ascii="Arial" w:hAnsi="Arial" w:cs="Arial"/>
          <w:lang w:val="en-US"/>
        </w:rPr>
        <w:t>, 10(2), pp. 190-204.</w:t>
      </w:r>
    </w:p>
    <w:p w14:paraId="60A2AABB" w14:textId="6C50F6AB" w:rsidR="00BD6A65" w:rsidRPr="0023639B" w:rsidRDefault="0054283A" w:rsidP="00BD6A65">
      <w:pPr>
        <w:spacing w:after="0" w:line="240" w:lineRule="auto"/>
        <w:ind w:left="709" w:hanging="709"/>
        <w:jc w:val="both"/>
        <w:rPr>
          <w:rFonts w:ascii="Arial" w:hAnsi="Arial" w:cs="Arial"/>
          <w:lang w:val="en-US"/>
        </w:rPr>
      </w:pPr>
      <w:proofErr w:type="spellStart"/>
      <w:r w:rsidRPr="0023639B">
        <w:rPr>
          <w:rFonts w:ascii="Arial" w:hAnsi="Arial" w:cs="Arial"/>
          <w:lang w:val="en-US"/>
        </w:rPr>
        <w:t>Chodkiewicz</w:t>
      </w:r>
      <w:proofErr w:type="spellEnd"/>
      <w:r w:rsidRPr="0023639B">
        <w:rPr>
          <w:rFonts w:ascii="Arial" w:hAnsi="Arial" w:cs="Arial"/>
          <w:lang w:val="en-US"/>
        </w:rPr>
        <w:t xml:space="preserve">, J., </w:t>
      </w:r>
      <w:proofErr w:type="spellStart"/>
      <w:r w:rsidRPr="0023639B">
        <w:rPr>
          <w:rFonts w:ascii="Arial" w:hAnsi="Arial" w:cs="Arial"/>
          <w:lang w:val="en-US"/>
        </w:rPr>
        <w:t>Talarowska</w:t>
      </w:r>
      <w:proofErr w:type="spellEnd"/>
      <w:r w:rsidRPr="0023639B">
        <w:rPr>
          <w:rFonts w:ascii="Arial" w:hAnsi="Arial" w:cs="Arial"/>
          <w:lang w:val="en-US"/>
        </w:rPr>
        <w:t xml:space="preserve">, M., </w:t>
      </w:r>
      <w:proofErr w:type="spellStart"/>
      <w:r w:rsidRPr="0023639B">
        <w:rPr>
          <w:rFonts w:ascii="Arial" w:hAnsi="Arial" w:cs="Arial"/>
          <w:lang w:val="en-US"/>
        </w:rPr>
        <w:t>Miniszewska</w:t>
      </w:r>
      <w:proofErr w:type="spellEnd"/>
      <w:r w:rsidRPr="0023639B">
        <w:rPr>
          <w:rFonts w:ascii="Arial" w:hAnsi="Arial" w:cs="Arial"/>
          <w:lang w:val="en-US"/>
        </w:rPr>
        <w:t xml:space="preserve">, J., </w:t>
      </w:r>
      <w:proofErr w:type="spellStart"/>
      <w:r w:rsidRPr="0023639B">
        <w:rPr>
          <w:rFonts w:ascii="Arial" w:hAnsi="Arial" w:cs="Arial"/>
          <w:lang w:val="en-US"/>
        </w:rPr>
        <w:t>Nawrocka</w:t>
      </w:r>
      <w:proofErr w:type="spellEnd"/>
      <w:r w:rsidRPr="0023639B">
        <w:rPr>
          <w:rFonts w:ascii="Arial" w:hAnsi="Arial" w:cs="Arial"/>
          <w:lang w:val="en-US"/>
        </w:rPr>
        <w:t xml:space="preserve">, N., &amp; </w:t>
      </w:r>
      <w:proofErr w:type="spellStart"/>
      <w:r w:rsidRPr="0023639B">
        <w:rPr>
          <w:rFonts w:ascii="Arial" w:hAnsi="Arial" w:cs="Arial"/>
          <w:lang w:val="en-US"/>
        </w:rPr>
        <w:t>Bilinski</w:t>
      </w:r>
      <w:proofErr w:type="spellEnd"/>
      <w:r w:rsidRPr="0023639B">
        <w:rPr>
          <w:rFonts w:ascii="Arial" w:hAnsi="Arial" w:cs="Arial"/>
          <w:lang w:val="en-US"/>
        </w:rPr>
        <w:t xml:space="preserve">, P. (2020). Alcohol Consumption Reported during the COVID-19 Pandemic: The Initial Stage. </w:t>
      </w:r>
      <w:r w:rsidRPr="0023639B">
        <w:rPr>
          <w:rFonts w:ascii="Arial" w:hAnsi="Arial" w:cs="Arial"/>
          <w:i/>
          <w:iCs/>
          <w:lang w:val="en-US"/>
        </w:rPr>
        <w:t>International Journal of Environmental Research and Public Health</w:t>
      </w:r>
      <w:r w:rsidRPr="0023639B">
        <w:rPr>
          <w:rFonts w:ascii="Arial" w:hAnsi="Arial" w:cs="Arial"/>
          <w:lang w:val="en-US"/>
        </w:rPr>
        <w:t xml:space="preserve">, </w:t>
      </w:r>
      <w:r w:rsidRPr="0023639B">
        <w:rPr>
          <w:rFonts w:ascii="Arial" w:hAnsi="Arial" w:cs="Arial"/>
          <w:i/>
          <w:iCs/>
          <w:lang w:val="en-US"/>
        </w:rPr>
        <w:t>17</w:t>
      </w:r>
      <w:r w:rsidRPr="0023639B">
        <w:rPr>
          <w:rFonts w:ascii="Arial" w:hAnsi="Arial" w:cs="Arial"/>
          <w:lang w:val="en-US"/>
        </w:rPr>
        <w:t xml:space="preserve">(13). </w:t>
      </w:r>
      <w:r w:rsidR="00BD6A65" w:rsidRPr="0023639B">
        <w:rPr>
          <w:rFonts w:ascii="Arial" w:hAnsi="Arial" w:cs="Arial"/>
          <w:lang w:val="en-US"/>
        </w:rPr>
        <w:t>https://doi.org/10.3390/ijerph17134677</w:t>
      </w:r>
    </w:p>
    <w:p w14:paraId="4FBF2CD4" w14:textId="77777777" w:rsidR="00BD6A65" w:rsidRPr="0023639B" w:rsidRDefault="0054283A" w:rsidP="00BD6A65">
      <w:pPr>
        <w:spacing w:after="0" w:line="240" w:lineRule="auto"/>
        <w:ind w:left="709" w:hanging="709"/>
        <w:jc w:val="both"/>
        <w:rPr>
          <w:rFonts w:ascii="Arial" w:hAnsi="Arial" w:cs="Arial"/>
        </w:rPr>
      </w:pPr>
      <w:r w:rsidRPr="0023639B">
        <w:rPr>
          <w:rFonts w:ascii="Arial" w:hAnsi="Arial" w:cs="Arial"/>
          <w:lang w:val="es-EC"/>
        </w:rPr>
        <w:t xml:space="preserve">Cohen, R. E. (2008). </w:t>
      </w:r>
      <w:r w:rsidRPr="0023639B">
        <w:rPr>
          <w:rFonts w:ascii="Arial" w:hAnsi="Arial" w:cs="Arial"/>
        </w:rPr>
        <w:t xml:space="preserve">Lecciones aprendidas durante desastres naturales: 1970-2007. </w:t>
      </w:r>
      <w:r w:rsidRPr="0023639B">
        <w:rPr>
          <w:rFonts w:ascii="Arial" w:hAnsi="Arial" w:cs="Arial"/>
          <w:i/>
          <w:iCs/>
        </w:rPr>
        <w:t>Revista Peruana de Medicina Experimental y Salud Publica</w:t>
      </w:r>
      <w:r w:rsidRPr="0023639B">
        <w:rPr>
          <w:rFonts w:ascii="Arial" w:hAnsi="Arial" w:cs="Arial"/>
        </w:rPr>
        <w:t xml:space="preserve">, </w:t>
      </w:r>
      <w:r w:rsidRPr="0023639B">
        <w:rPr>
          <w:rFonts w:ascii="Arial" w:hAnsi="Arial" w:cs="Arial"/>
          <w:i/>
          <w:iCs/>
        </w:rPr>
        <w:t>25</w:t>
      </w:r>
      <w:r w:rsidRPr="0023639B">
        <w:rPr>
          <w:rFonts w:ascii="Arial" w:hAnsi="Arial" w:cs="Arial"/>
        </w:rPr>
        <w:t>(1), 109-117.</w:t>
      </w:r>
    </w:p>
    <w:p w14:paraId="182F5EA5" w14:textId="693E7D72" w:rsidR="00BD6A65" w:rsidRPr="000F63B2" w:rsidRDefault="0054283A" w:rsidP="00BD6A65">
      <w:pPr>
        <w:spacing w:after="0" w:line="240" w:lineRule="auto"/>
        <w:ind w:left="709" w:hanging="709"/>
        <w:jc w:val="both"/>
        <w:rPr>
          <w:rFonts w:ascii="Arial" w:hAnsi="Arial" w:cs="Arial"/>
        </w:rPr>
      </w:pPr>
      <w:proofErr w:type="spellStart"/>
      <w:r w:rsidRPr="0023639B">
        <w:rPr>
          <w:rFonts w:ascii="Arial" w:hAnsi="Arial" w:cs="Arial"/>
        </w:rPr>
        <w:t>Columb</w:t>
      </w:r>
      <w:proofErr w:type="spellEnd"/>
      <w:r w:rsidRPr="0023639B">
        <w:rPr>
          <w:rFonts w:ascii="Arial" w:hAnsi="Arial" w:cs="Arial"/>
        </w:rPr>
        <w:t xml:space="preserve">, D., </w:t>
      </w:r>
      <w:proofErr w:type="spellStart"/>
      <w:r w:rsidRPr="0023639B">
        <w:rPr>
          <w:rFonts w:ascii="Arial" w:hAnsi="Arial" w:cs="Arial"/>
        </w:rPr>
        <w:t>Hussain</w:t>
      </w:r>
      <w:proofErr w:type="spellEnd"/>
      <w:r w:rsidRPr="0023639B">
        <w:rPr>
          <w:rFonts w:ascii="Arial" w:hAnsi="Arial" w:cs="Arial"/>
        </w:rPr>
        <w:t xml:space="preserve">, R., &amp; </w:t>
      </w:r>
      <w:proofErr w:type="spellStart"/>
      <w:r w:rsidRPr="0023639B">
        <w:rPr>
          <w:rFonts w:ascii="Arial" w:hAnsi="Arial" w:cs="Arial"/>
        </w:rPr>
        <w:t>O’Gara</w:t>
      </w:r>
      <w:proofErr w:type="spellEnd"/>
      <w:r w:rsidRPr="0023639B">
        <w:rPr>
          <w:rFonts w:ascii="Arial" w:hAnsi="Arial" w:cs="Arial"/>
        </w:rPr>
        <w:t>, C</w:t>
      </w:r>
      <w:r w:rsidRPr="000F63B2">
        <w:rPr>
          <w:rFonts w:ascii="Arial" w:hAnsi="Arial" w:cs="Arial"/>
        </w:rPr>
        <w:t xml:space="preserve">. (2020). </w:t>
      </w:r>
      <w:r w:rsidRPr="000F63B2">
        <w:rPr>
          <w:rFonts w:ascii="Arial" w:hAnsi="Arial" w:cs="Arial"/>
          <w:lang w:val="en-US"/>
        </w:rPr>
        <w:t xml:space="preserve">Addiction psychiatry and COVID-19: Impact on patients and service provision. </w:t>
      </w:r>
      <w:proofErr w:type="spellStart"/>
      <w:r w:rsidRPr="000F63B2">
        <w:rPr>
          <w:rFonts w:ascii="Arial" w:hAnsi="Arial" w:cs="Arial"/>
          <w:i/>
          <w:iCs/>
        </w:rPr>
        <w:t>Irish</w:t>
      </w:r>
      <w:proofErr w:type="spellEnd"/>
      <w:r w:rsidRPr="000F63B2">
        <w:rPr>
          <w:rFonts w:ascii="Arial" w:hAnsi="Arial" w:cs="Arial"/>
          <w:i/>
          <w:iCs/>
        </w:rPr>
        <w:t xml:space="preserve"> </w:t>
      </w:r>
      <w:proofErr w:type="spellStart"/>
      <w:r w:rsidRPr="000F63B2">
        <w:rPr>
          <w:rFonts w:ascii="Arial" w:hAnsi="Arial" w:cs="Arial"/>
          <w:i/>
          <w:iCs/>
        </w:rPr>
        <w:t>Journal</w:t>
      </w:r>
      <w:proofErr w:type="spellEnd"/>
      <w:r w:rsidRPr="000F63B2">
        <w:rPr>
          <w:rFonts w:ascii="Arial" w:hAnsi="Arial" w:cs="Arial"/>
          <w:i/>
          <w:iCs/>
        </w:rPr>
        <w:t xml:space="preserve"> </w:t>
      </w:r>
      <w:proofErr w:type="spellStart"/>
      <w:r w:rsidRPr="000F63B2">
        <w:rPr>
          <w:rFonts w:ascii="Arial" w:hAnsi="Arial" w:cs="Arial"/>
          <w:i/>
          <w:iCs/>
        </w:rPr>
        <w:t>of</w:t>
      </w:r>
      <w:proofErr w:type="spellEnd"/>
      <w:r w:rsidRPr="000F63B2">
        <w:rPr>
          <w:rFonts w:ascii="Arial" w:hAnsi="Arial" w:cs="Arial"/>
          <w:i/>
          <w:iCs/>
        </w:rPr>
        <w:t xml:space="preserve"> </w:t>
      </w:r>
      <w:proofErr w:type="spellStart"/>
      <w:r w:rsidRPr="000F63B2">
        <w:rPr>
          <w:rFonts w:ascii="Arial" w:hAnsi="Arial" w:cs="Arial"/>
          <w:i/>
          <w:iCs/>
        </w:rPr>
        <w:t>Psychological</w:t>
      </w:r>
      <w:proofErr w:type="spellEnd"/>
      <w:r w:rsidRPr="000F63B2">
        <w:rPr>
          <w:rFonts w:ascii="Arial" w:hAnsi="Arial" w:cs="Arial"/>
          <w:i/>
          <w:iCs/>
        </w:rPr>
        <w:t xml:space="preserve"> Medicine</w:t>
      </w:r>
      <w:r w:rsidRPr="000F63B2">
        <w:rPr>
          <w:rFonts w:ascii="Arial" w:hAnsi="Arial" w:cs="Arial"/>
        </w:rPr>
        <w:t xml:space="preserve">, 1-5. </w:t>
      </w:r>
      <w:r w:rsidR="00BD6A65" w:rsidRPr="000F63B2">
        <w:rPr>
          <w:rFonts w:ascii="Arial" w:hAnsi="Arial" w:cs="Arial"/>
        </w:rPr>
        <w:t>https://doi.org/10.1017/ipm.2020.47</w:t>
      </w:r>
    </w:p>
    <w:p w14:paraId="1C6613B7" w14:textId="2B302CAD" w:rsidR="00BD6A65" w:rsidRPr="000F63B2" w:rsidRDefault="0054283A" w:rsidP="00BD6A65">
      <w:pPr>
        <w:spacing w:after="0" w:line="240" w:lineRule="auto"/>
        <w:ind w:left="709" w:hanging="709"/>
        <w:jc w:val="both"/>
        <w:rPr>
          <w:rFonts w:ascii="Arial" w:hAnsi="Arial" w:cs="Arial"/>
        </w:rPr>
      </w:pPr>
      <w:r w:rsidRPr="000F63B2">
        <w:rPr>
          <w:rFonts w:ascii="Arial" w:hAnsi="Arial" w:cs="Arial"/>
          <w:i/>
          <w:iCs/>
        </w:rPr>
        <w:t>El consumo nocivo de alcohol mata a más de 3 millones de personas al año, en su mayoría hombres</w:t>
      </w:r>
      <w:r w:rsidRPr="000F63B2">
        <w:rPr>
          <w:rFonts w:ascii="Arial" w:hAnsi="Arial" w:cs="Arial"/>
        </w:rPr>
        <w:t xml:space="preserve">. (s. f.). Recuperado 6 de diciembre de 2020, de </w:t>
      </w:r>
      <w:r w:rsidR="00BD6A65" w:rsidRPr="000F63B2">
        <w:rPr>
          <w:rFonts w:ascii="Arial" w:hAnsi="Arial" w:cs="Arial"/>
        </w:rPr>
        <w:t>https://www.who.int/es/news/item/21-09-2018-harmful-use-of-alcohol-kills-more-than-3-million-people-each-year--most-of-them-men.</w:t>
      </w:r>
    </w:p>
    <w:p w14:paraId="697ECA1A" w14:textId="5BF1E3C0" w:rsidR="00BD6A65" w:rsidRPr="000F63B2" w:rsidRDefault="0054283A" w:rsidP="00BD6A65">
      <w:pPr>
        <w:spacing w:after="0" w:line="240" w:lineRule="auto"/>
        <w:ind w:left="709" w:hanging="709"/>
        <w:jc w:val="both"/>
        <w:rPr>
          <w:rFonts w:ascii="Arial" w:hAnsi="Arial" w:cs="Arial"/>
          <w:lang w:val="en-US"/>
        </w:rPr>
      </w:pPr>
      <w:r w:rsidRPr="000F63B2">
        <w:rPr>
          <w:rFonts w:ascii="Arial" w:hAnsi="Arial" w:cs="Arial"/>
          <w:lang w:val="en-US"/>
        </w:rPr>
        <w:t xml:space="preserve">Hansel, T. C., Saltzman, L. Y., &amp; </w:t>
      </w:r>
      <w:proofErr w:type="spellStart"/>
      <w:r w:rsidRPr="000F63B2">
        <w:rPr>
          <w:rFonts w:ascii="Arial" w:hAnsi="Arial" w:cs="Arial"/>
          <w:lang w:val="en-US"/>
        </w:rPr>
        <w:t>Bordnick</w:t>
      </w:r>
      <w:proofErr w:type="spellEnd"/>
      <w:r w:rsidRPr="000F63B2">
        <w:rPr>
          <w:rFonts w:ascii="Arial" w:hAnsi="Arial" w:cs="Arial"/>
          <w:lang w:val="en-US"/>
        </w:rPr>
        <w:t xml:space="preserve">, P. S. (2020). Behavioral Health and Response for COVID-19. </w:t>
      </w:r>
      <w:r w:rsidRPr="000F63B2">
        <w:rPr>
          <w:rFonts w:ascii="Arial" w:hAnsi="Arial" w:cs="Arial"/>
          <w:i/>
          <w:iCs/>
          <w:lang w:val="en-US"/>
        </w:rPr>
        <w:t>Disaster Medicine and Public Health Preparedness</w:t>
      </w:r>
      <w:r w:rsidRPr="000F63B2">
        <w:rPr>
          <w:rFonts w:ascii="Arial" w:hAnsi="Arial" w:cs="Arial"/>
          <w:lang w:val="en-US"/>
        </w:rPr>
        <w:t xml:space="preserve">, 1-7. </w:t>
      </w:r>
      <w:r w:rsidR="00BD6A65" w:rsidRPr="000F63B2">
        <w:rPr>
          <w:rFonts w:ascii="Arial" w:hAnsi="Arial" w:cs="Arial"/>
          <w:lang w:val="en-US"/>
        </w:rPr>
        <w:t>https://doi.org/10.1017/dmp.2020.180</w:t>
      </w:r>
    </w:p>
    <w:p w14:paraId="4CA55384" w14:textId="25E858F1" w:rsidR="00BD6A65" w:rsidRPr="000F63B2" w:rsidRDefault="0054283A" w:rsidP="00BD6A65">
      <w:pPr>
        <w:spacing w:after="0" w:line="240" w:lineRule="auto"/>
        <w:ind w:left="709" w:hanging="709"/>
        <w:jc w:val="both"/>
        <w:rPr>
          <w:rFonts w:ascii="Arial" w:hAnsi="Arial" w:cs="Arial"/>
          <w:lang w:val="en-US"/>
        </w:rPr>
      </w:pPr>
      <w:proofErr w:type="spellStart"/>
      <w:r w:rsidRPr="000F63B2">
        <w:rPr>
          <w:rFonts w:ascii="Arial" w:hAnsi="Arial" w:cs="Arial"/>
          <w:lang w:val="en-US"/>
        </w:rPr>
        <w:t>Krammer</w:t>
      </w:r>
      <w:proofErr w:type="spellEnd"/>
      <w:r w:rsidRPr="000F63B2">
        <w:rPr>
          <w:rFonts w:ascii="Arial" w:hAnsi="Arial" w:cs="Arial"/>
          <w:lang w:val="en-US"/>
        </w:rPr>
        <w:t xml:space="preserve">, S., </w:t>
      </w:r>
      <w:proofErr w:type="spellStart"/>
      <w:r w:rsidRPr="000F63B2">
        <w:rPr>
          <w:rFonts w:ascii="Arial" w:hAnsi="Arial" w:cs="Arial"/>
          <w:lang w:val="en-US"/>
        </w:rPr>
        <w:t>Augstburger</w:t>
      </w:r>
      <w:proofErr w:type="spellEnd"/>
      <w:r w:rsidRPr="000F63B2">
        <w:rPr>
          <w:rFonts w:ascii="Arial" w:hAnsi="Arial" w:cs="Arial"/>
          <w:lang w:val="en-US"/>
        </w:rPr>
        <w:t xml:space="preserve">, R., </w:t>
      </w:r>
      <w:proofErr w:type="spellStart"/>
      <w:r w:rsidRPr="000F63B2">
        <w:rPr>
          <w:rFonts w:ascii="Arial" w:hAnsi="Arial" w:cs="Arial"/>
          <w:lang w:val="en-US"/>
        </w:rPr>
        <w:t>Haeck</w:t>
      </w:r>
      <w:proofErr w:type="spellEnd"/>
      <w:r w:rsidRPr="000F63B2">
        <w:rPr>
          <w:rFonts w:ascii="Arial" w:hAnsi="Arial" w:cs="Arial"/>
          <w:lang w:val="en-US"/>
        </w:rPr>
        <w:t xml:space="preserve">, M., &amp; </w:t>
      </w:r>
      <w:proofErr w:type="spellStart"/>
      <w:r w:rsidRPr="000F63B2">
        <w:rPr>
          <w:rFonts w:ascii="Arial" w:hAnsi="Arial" w:cs="Arial"/>
          <w:lang w:val="en-US"/>
        </w:rPr>
        <w:t>Maercker</w:t>
      </w:r>
      <w:proofErr w:type="spellEnd"/>
      <w:r w:rsidRPr="000F63B2">
        <w:rPr>
          <w:rFonts w:ascii="Arial" w:hAnsi="Arial" w:cs="Arial"/>
          <w:lang w:val="en-US"/>
        </w:rPr>
        <w:t>, A. (2020). [Adjustment Disorder, Depression, Stress Symptoms, Corona Related Anxieties and</w:t>
      </w:r>
      <w:r w:rsidR="00BD6A65" w:rsidRPr="000F63B2">
        <w:rPr>
          <w:rFonts w:ascii="Arial" w:hAnsi="Arial" w:cs="Arial"/>
          <w:lang w:val="en-US"/>
        </w:rPr>
        <w:t xml:space="preserve"> </w:t>
      </w:r>
      <w:r w:rsidRPr="000F63B2">
        <w:rPr>
          <w:rFonts w:ascii="Arial" w:hAnsi="Arial" w:cs="Arial"/>
          <w:lang w:val="en-US"/>
        </w:rPr>
        <w:t xml:space="preserve">Coping Strategies during the Corona Pandemic (COVID-19) in Swiss Medical Staff]. </w:t>
      </w:r>
      <w:proofErr w:type="spellStart"/>
      <w:r w:rsidRPr="000F63B2">
        <w:rPr>
          <w:rFonts w:ascii="Arial" w:hAnsi="Arial" w:cs="Arial"/>
          <w:i/>
          <w:iCs/>
          <w:lang w:val="en-US"/>
        </w:rPr>
        <w:t>Psychotherapie</w:t>
      </w:r>
      <w:proofErr w:type="spellEnd"/>
      <w:r w:rsidRPr="000F63B2">
        <w:rPr>
          <w:rFonts w:ascii="Arial" w:hAnsi="Arial" w:cs="Arial"/>
          <w:i/>
          <w:iCs/>
          <w:lang w:val="en-US"/>
        </w:rPr>
        <w:t xml:space="preserve">, </w:t>
      </w:r>
      <w:proofErr w:type="spellStart"/>
      <w:r w:rsidRPr="000F63B2">
        <w:rPr>
          <w:rFonts w:ascii="Arial" w:hAnsi="Arial" w:cs="Arial"/>
          <w:i/>
          <w:iCs/>
          <w:lang w:val="en-US"/>
        </w:rPr>
        <w:t>Psychosomatik</w:t>
      </w:r>
      <w:proofErr w:type="spellEnd"/>
      <w:r w:rsidRPr="000F63B2">
        <w:rPr>
          <w:rFonts w:ascii="Arial" w:hAnsi="Arial" w:cs="Arial"/>
          <w:i/>
          <w:iCs/>
          <w:lang w:val="en-US"/>
        </w:rPr>
        <w:t xml:space="preserve">, </w:t>
      </w:r>
      <w:proofErr w:type="spellStart"/>
      <w:r w:rsidRPr="000F63B2">
        <w:rPr>
          <w:rFonts w:ascii="Arial" w:hAnsi="Arial" w:cs="Arial"/>
          <w:i/>
          <w:iCs/>
          <w:lang w:val="en-US"/>
        </w:rPr>
        <w:t>medizinische</w:t>
      </w:r>
      <w:proofErr w:type="spellEnd"/>
      <w:r w:rsidRPr="000F63B2">
        <w:rPr>
          <w:rFonts w:ascii="Arial" w:hAnsi="Arial" w:cs="Arial"/>
          <w:i/>
          <w:iCs/>
          <w:lang w:val="en-US"/>
        </w:rPr>
        <w:t xml:space="preserve"> </w:t>
      </w:r>
      <w:proofErr w:type="spellStart"/>
      <w:r w:rsidRPr="000F63B2">
        <w:rPr>
          <w:rFonts w:ascii="Arial" w:hAnsi="Arial" w:cs="Arial"/>
          <w:i/>
          <w:iCs/>
          <w:lang w:val="en-US"/>
        </w:rPr>
        <w:t>Psychologie</w:t>
      </w:r>
      <w:proofErr w:type="spellEnd"/>
      <w:r w:rsidRPr="000F63B2">
        <w:rPr>
          <w:rFonts w:ascii="Arial" w:hAnsi="Arial" w:cs="Arial"/>
          <w:lang w:val="en-US"/>
        </w:rPr>
        <w:t xml:space="preserve">, </w:t>
      </w:r>
      <w:r w:rsidRPr="000F63B2">
        <w:rPr>
          <w:rFonts w:ascii="Arial" w:hAnsi="Arial" w:cs="Arial"/>
          <w:i/>
          <w:iCs/>
          <w:lang w:val="en-US"/>
        </w:rPr>
        <w:t>70</w:t>
      </w:r>
      <w:r w:rsidRPr="000F63B2">
        <w:rPr>
          <w:rFonts w:ascii="Arial" w:hAnsi="Arial" w:cs="Arial"/>
          <w:lang w:val="en-US"/>
        </w:rPr>
        <w:t xml:space="preserve">(7), 272-282. </w:t>
      </w:r>
      <w:r w:rsidR="00BD6A65" w:rsidRPr="000F63B2">
        <w:rPr>
          <w:rFonts w:ascii="Arial" w:hAnsi="Arial" w:cs="Arial"/>
          <w:lang w:val="en-US"/>
        </w:rPr>
        <w:t>https://doi.org/10.1055/a-1192-6608</w:t>
      </w:r>
    </w:p>
    <w:p w14:paraId="5FDDE5A3" w14:textId="77777777" w:rsidR="00BD6A65" w:rsidRPr="000F63B2" w:rsidRDefault="0054283A" w:rsidP="00BD6A65">
      <w:pPr>
        <w:spacing w:after="0" w:line="240" w:lineRule="auto"/>
        <w:ind w:left="709" w:hanging="709"/>
        <w:jc w:val="both"/>
        <w:rPr>
          <w:rFonts w:ascii="Arial" w:hAnsi="Arial" w:cs="Arial"/>
          <w:lang w:val="es-EC"/>
        </w:rPr>
      </w:pPr>
      <w:r w:rsidRPr="000F63B2">
        <w:rPr>
          <w:rFonts w:ascii="Arial" w:hAnsi="Arial" w:cs="Arial"/>
          <w:lang w:val="en-US"/>
        </w:rPr>
        <w:t xml:space="preserve">Lazarus &amp; Folkman. </w:t>
      </w:r>
      <w:r w:rsidRPr="000F63B2">
        <w:rPr>
          <w:rFonts w:ascii="Arial" w:hAnsi="Arial" w:cs="Arial"/>
        </w:rPr>
        <w:t xml:space="preserve">(1984). </w:t>
      </w:r>
      <w:proofErr w:type="spellStart"/>
      <w:r w:rsidRPr="000F63B2">
        <w:rPr>
          <w:rFonts w:ascii="Arial" w:hAnsi="Arial" w:cs="Arial"/>
          <w:i/>
          <w:iCs/>
        </w:rPr>
        <w:t>Estres</w:t>
      </w:r>
      <w:proofErr w:type="spellEnd"/>
      <w:r w:rsidRPr="000F63B2">
        <w:rPr>
          <w:rFonts w:ascii="Arial" w:hAnsi="Arial" w:cs="Arial"/>
          <w:i/>
          <w:iCs/>
        </w:rPr>
        <w:t xml:space="preserve"> y procesos cognitivos</w:t>
      </w:r>
      <w:r w:rsidRPr="000F63B2">
        <w:rPr>
          <w:rFonts w:ascii="Arial" w:hAnsi="Arial" w:cs="Arial"/>
        </w:rPr>
        <w:t xml:space="preserve">. </w:t>
      </w:r>
      <w:proofErr w:type="spellStart"/>
      <w:r w:rsidRPr="000F63B2">
        <w:rPr>
          <w:rFonts w:ascii="Arial" w:hAnsi="Arial" w:cs="Arial"/>
          <w:lang w:val="es-EC"/>
        </w:rPr>
        <w:t>Martinez</w:t>
      </w:r>
      <w:proofErr w:type="spellEnd"/>
      <w:r w:rsidRPr="000F63B2">
        <w:rPr>
          <w:rFonts w:ascii="Arial" w:hAnsi="Arial" w:cs="Arial"/>
          <w:lang w:val="es-EC"/>
        </w:rPr>
        <w:t xml:space="preserve"> Roca.</w:t>
      </w:r>
    </w:p>
    <w:p w14:paraId="7E4E1DDD" w14:textId="04EB3C73" w:rsidR="00BD6A65" w:rsidRPr="000F63B2" w:rsidRDefault="0054283A" w:rsidP="00BD6A65">
      <w:pPr>
        <w:spacing w:after="0" w:line="240" w:lineRule="auto"/>
        <w:ind w:left="709" w:hanging="709"/>
        <w:jc w:val="both"/>
        <w:rPr>
          <w:rFonts w:ascii="Arial" w:hAnsi="Arial" w:cs="Arial"/>
          <w:lang w:val="en-US"/>
        </w:rPr>
      </w:pPr>
      <w:proofErr w:type="spellStart"/>
      <w:r w:rsidRPr="000F63B2">
        <w:rPr>
          <w:rFonts w:ascii="Arial" w:hAnsi="Arial" w:cs="Arial"/>
          <w:lang w:val="en-US"/>
        </w:rPr>
        <w:t>Lebeaut</w:t>
      </w:r>
      <w:proofErr w:type="spellEnd"/>
      <w:r w:rsidRPr="000F63B2">
        <w:rPr>
          <w:rFonts w:ascii="Arial" w:hAnsi="Arial" w:cs="Arial"/>
          <w:lang w:val="en-US"/>
        </w:rPr>
        <w:t xml:space="preserve">, A., Tran, J. K., &amp; </w:t>
      </w:r>
      <w:proofErr w:type="spellStart"/>
      <w:r w:rsidRPr="000F63B2">
        <w:rPr>
          <w:rFonts w:ascii="Arial" w:hAnsi="Arial" w:cs="Arial"/>
          <w:lang w:val="en-US"/>
        </w:rPr>
        <w:t>Vujanovic</w:t>
      </w:r>
      <w:proofErr w:type="spellEnd"/>
      <w:r w:rsidRPr="000F63B2">
        <w:rPr>
          <w:rFonts w:ascii="Arial" w:hAnsi="Arial" w:cs="Arial"/>
          <w:lang w:val="en-US"/>
        </w:rPr>
        <w:t xml:space="preserve">, A. A. (2020). Posttraumatic stress, alcohol use severity, and alcohol use motives among firefighters: The role of anxiety sensitivity. </w:t>
      </w:r>
      <w:r w:rsidRPr="000F63B2">
        <w:rPr>
          <w:rFonts w:ascii="Arial" w:hAnsi="Arial" w:cs="Arial"/>
          <w:i/>
          <w:iCs/>
          <w:lang w:val="en-US"/>
        </w:rPr>
        <w:t>Addictive Behaviors</w:t>
      </w:r>
      <w:r w:rsidRPr="000F63B2">
        <w:rPr>
          <w:rFonts w:ascii="Arial" w:hAnsi="Arial" w:cs="Arial"/>
          <w:lang w:val="en-US"/>
        </w:rPr>
        <w:t xml:space="preserve">, </w:t>
      </w:r>
      <w:r w:rsidRPr="000F63B2">
        <w:rPr>
          <w:rFonts w:ascii="Arial" w:hAnsi="Arial" w:cs="Arial"/>
          <w:i/>
          <w:iCs/>
          <w:lang w:val="en-US"/>
        </w:rPr>
        <w:t>106</w:t>
      </w:r>
      <w:r w:rsidRPr="000F63B2">
        <w:rPr>
          <w:rFonts w:ascii="Arial" w:hAnsi="Arial" w:cs="Arial"/>
          <w:lang w:val="en-US"/>
        </w:rPr>
        <w:t xml:space="preserve">, 106353. </w:t>
      </w:r>
      <w:r w:rsidR="00BD6A65" w:rsidRPr="000F63B2">
        <w:rPr>
          <w:rFonts w:ascii="Arial" w:hAnsi="Arial" w:cs="Arial"/>
          <w:lang w:val="en-US"/>
        </w:rPr>
        <w:t>https://doi.org/10.1016/j.addbeh.2020.106353</w:t>
      </w:r>
    </w:p>
    <w:p w14:paraId="2130206E" w14:textId="7EFEC715" w:rsidR="00BD6A65" w:rsidRPr="000F63B2" w:rsidRDefault="0054283A" w:rsidP="00BD6A65">
      <w:pPr>
        <w:spacing w:after="0" w:line="240" w:lineRule="auto"/>
        <w:ind w:left="709" w:hanging="709"/>
        <w:jc w:val="both"/>
        <w:rPr>
          <w:rFonts w:ascii="Arial" w:hAnsi="Arial" w:cs="Arial"/>
          <w:lang w:val="en-US"/>
        </w:rPr>
      </w:pPr>
      <w:r w:rsidRPr="000F63B2">
        <w:rPr>
          <w:rFonts w:ascii="Arial" w:hAnsi="Arial" w:cs="Arial"/>
          <w:lang w:val="en-US"/>
        </w:rPr>
        <w:lastRenderedPageBreak/>
        <w:t xml:space="preserve">Lee, S. A. (2020). Coronavirus Anxiety Scale: A brief mental health screener for COVID-19 </w:t>
      </w:r>
      <w:r w:rsidR="00BD6A65" w:rsidRPr="000F63B2">
        <w:rPr>
          <w:rFonts w:ascii="Arial" w:hAnsi="Arial" w:cs="Arial"/>
          <w:lang w:val="en-US"/>
        </w:rPr>
        <w:t>related anxiety</w:t>
      </w:r>
      <w:r w:rsidRPr="000F63B2">
        <w:rPr>
          <w:rFonts w:ascii="Arial" w:hAnsi="Arial" w:cs="Arial"/>
          <w:lang w:val="en-US"/>
        </w:rPr>
        <w:t xml:space="preserve">. </w:t>
      </w:r>
      <w:r w:rsidRPr="000F63B2">
        <w:rPr>
          <w:rFonts w:ascii="Arial" w:hAnsi="Arial" w:cs="Arial"/>
          <w:i/>
          <w:iCs/>
          <w:lang w:val="en-US"/>
        </w:rPr>
        <w:t>Death Studies</w:t>
      </w:r>
      <w:r w:rsidRPr="000F63B2">
        <w:rPr>
          <w:rFonts w:ascii="Arial" w:hAnsi="Arial" w:cs="Arial"/>
          <w:lang w:val="en-US"/>
        </w:rPr>
        <w:t xml:space="preserve">, </w:t>
      </w:r>
      <w:r w:rsidRPr="000F63B2">
        <w:rPr>
          <w:rFonts w:ascii="Arial" w:hAnsi="Arial" w:cs="Arial"/>
          <w:i/>
          <w:iCs/>
          <w:lang w:val="en-US"/>
        </w:rPr>
        <w:t>44</w:t>
      </w:r>
      <w:r w:rsidRPr="000F63B2">
        <w:rPr>
          <w:rFonts w:ascii="Arial" w:hAnsi="Arial" w:cs="Arial"/>
          <w:lang w:val="en-US"/>
        </w:rPr>
        <w:t xml:space="preserve">(7), 393-401. </w:t>
      </w:r>
      <w:r w:rsidR="00BD6A65" w:rsidRPr="000F63B2">
        <w:rPr>
          <w:rFonts w:ascii="Arial" w:hAnsi="Arial" w:cs="Arial"/>
          <w:lang w:val="en-US"/>
        </w:rPr>
        <w:t>https://doi.org/10.1080/07481187.2020.1748481</w:t>
      </w:r>
    </w:p>
    <w:p w14:paraId="3188DC6B" w14:textId="5E7829F2" w:rsidR="00BD6A65" w:rsidRPr="000F63B2" w:rsidRDefault="0054283A" w:rsidP="00BD6A65">
      <w:pPr>
        <w:spacing w:after="0" w:line="240" w:lineRule="auto"/>
        <w:ind w:left="709" w:hanging="709"/>
        <w:jc w:val="both"/>
        <w:rPr>
          <w:rFonts w:ascii="Arial" w:hAnsi="Arial" w:cs="Arial"/>
          <w:lang w:val="en-US"/>
        </w:rPr>
      </w:pPr>
      <w:r w:rsidRPr="000F63B2">
        <w:rPr>
          <w:rFonts w:ascii="Arial" w:hAnsi="Arial" w:cs="Arial"/>
          <w:lang w:val="en-US"/>
        </w:rPr>
        <w:t xml:space="preserve">Lei, L., Huang, X., Zhang, S., Yang, J., Yang, L., &amp; Xu, M. (2020). Comparison of Prevalence and Associated Factors of Anxiety and Depression Among People Affected by versus People Unaffected by Quarantine During the COVID-19 Epidemic in Southwestern China. </w:t>
      </w:r>
      <w:r w:rsidRPr="000F63B2">
        <w:rPr>
          <w:rFonts w:ascii="Arial" w:hAnsi="Arial" w:cs="Arial"/>
          <w:i/>
          <w:iCs/>
          <w:lang w:val="en-US"/>
        </w:rPr>
        <w:t xml:space="preserve">Medical Science </w:t>
      </w:r>
      <w:r w:rsidR="00BD6A65" w:rsidRPr="000F63B2">
        <w:rPr>
          <w:rFonts w:ascii="Arial" w:hAnsi="Arial" w:cs="Arial"/>
          <w:i/>
          <w:iCs/>
          <w:lang w:val="en-US"/>
        </w:rPr>
        <w:t>Monitor:</w:t>
      </w:r>
      <w:r w:rsidRPr="000F63B2">
        <w:rPr>
          <w:rFonts w:ascii="Arial" w:hAnsi="Arial" w:cs="Arial"/>
          <w:i/>
          <w:iCs/>
          <w:lang w:val="en-US"/>
        </w:rPr>
        <w:t xml:space="preserve"> International Medical Journal of Experimental and Clinical Research</w:t>
      </w:r>
      <w:r w:rsidRPr="000F63B2">
        <w:rPr>
          <w:rFonts w:ascii="Arial" w:hAnsi="Arial" w:cs="Arial"/>
          <w:lang w:val="en-US"/>
        </w:rPr>
        <w:t xml:space="preserve">, </w:t>
      </w:r>
      <w:r w:rsidRPr="000F63B2">
        <w:rPr>
          <w:rFonts w:ascii="Arial" w:hAnsi="Arial" w:cs="Arial"/>
          <w:i/>
          <w:iCs/>
          <w:lang w:val="en-US"/>
        </w:rPr>
        <w:t>26</w:t>
      </w:r>
      <w:r w:rsidRPr="000F63B2">
        <w:rPr>
          <w:rFonts w:ascii="Arial" w:hAnsi="Arial" w:cs="Arial"/>
          <w:lang w:val="en-US"/>
        </w:rPr>
        <w:t xml:space="preserve">, e924609. </w:t>
      </w:r>
      <w:r w:rsidR="00BD6A65" w:rsidRPr="000F63B2">
        <w:rPr>
          <w:rFonts w:ascii="Arial" w:hAnsi="Arial" w:cs="Arial"/>
          <w:lang w:val="en-US"/>
        </w:rPr>
        <w:t>https://doi.org/10.12659/MSM.924609.</w:t>
      </w:r>
    </w:p>
    <w:p w14:paraId="6AFB8398" w14:textId="64531066" w:rsidR="00BD6A65" w:rsidRPr="000F63B2" w:rsidRDefault="0054283A" w:rsidP="00BD6A65">
      <w:pPr>
        <w:spacing w:after="0" w:line="240" w:lineRule="auto"/>
        <w:ind w:left="709" w:hanging="709"/>
        <w:jc w:val="both"/>
        <w:rPr>
          <w:rFonts w:ascii="Arial" w:hAnsi="Arial" w:cs="Arial"/>
          <w:lang w:val="es-EC"/>
        </w:rPr>
      </w:pPr>
      <w:r w:rsidRPr="000F63B2">
        <w:rPr>
          <w:rFonts w:ascii="Arial" w:hAnsi="Arial" w:cs="Arial"/>
          <w:lang w:val="es-EC"/>
        </w:rPr>
        <w:t xml:space="preserve">Monteiro, </w:t>
      </w:r>
      <w:proofErr w:type="spellStart"/>
      <w:r w:rsidRPr="000F63B2">
        <w:rPr>
          <w:rFonts w:ascii="Arial" w:hAnsi="Arial" w:cs="Arial"/>
          <w:lang w:val="es-EC"/>
        </w:rPr>
        <w:t>Maristela</w:t>
      </w:r>
      <w:proofErr w:type="spellEnd"/>
      <w:r w:rsidRPr="000F63B2">
        <w:rPr>
          <w:rFonts w:ascii="Arial" w:hAnsi="Arial" w:cs="Arial"/>
          <w:lang w:val="es-EC"/>
        </w:rPr>
        <w:t xml:space="preserve">. </w:t>
      </w:r>
      <w:r w:rsidRPr="000F63B2">
        <w:rPr>
          <w:rFonts w:ascii="Arial" w:hAnsi="Arial" w:cs="Arial"/>
        </w:rPr>
        <w:t xml:space="preserve">(2020, noviembre 11). </w:t>
      </w:r>
      <w:r w:rsidRPr="000F63B2">
        <w:rPr>
          <w:rFonts w:ascii="Arial" w:hAnsi="Arial" w:cs="Arial"/>
          <w:i/>
          <w:iCs/>
        </w:rPr>
        <w:t>Resultados de la encuesta de OPS sobre consumo de alcohol y COVID-19 en la región</w:t>
      </w:r>
      <w:r w:rsidRPr="000F63B2">
        <w:rPr>
          <w:rFonts w:ascii="Arial" w:hAnsi="Arial" w:cs="Arial"/>
        </w:rPr>
        <w:t xml:space="preserve">. Prevalencia del consumo de Alcohol. </w:t>
      </w:r>
      <w:r w:rsidR="00BD6A65" w:rsidRPr="000F63B2">
        <w:rPr>
          <w:rFonts w:ascii="Arial" w:hAnsi="Arial" w:cs="Arial"/>
          <w:lang w:val="es-EC"/>
        </w:rPr>
        <w:t>https://www.youtube.com/watch?v=V7fMjRXRZ0U&amp;t=1176s</w:t>
      </w:r>
    </w:p>
    <w:p w14:paraId="0243CCAE" w14:textId="6CD68E63" w:rsidR="00BD6A65" w:rsidRPr="000F63B2" w:rsidRDefault="0054283A" w:rsidP="00BD6A65">
      <w:pPr>
        <w:spacing w:after="0" w:line="240" w:lineRule="auto"/>
        <w:ind w:left="709" w:hanging="709"/>
        <w:jc w:val="both"/>
        <w:rPr>
          <w:rFonts w:ascii="Arial" w:hAnsi="Arial" w:cs="Arial"/>
          <w:lang w:val="en-US"/>
        </w:rPr>
      </w:pPr>
      <w:r w:rsidRPr="000F63B2">
        <w:rPr>
          <w:rFonts w:ascii="Arial" w:hAnsi="Arial" w:cs="Arial"/>
          <w:lang w:val="en-US"/>
        </w:rPr>
        <w:t xml:space="preserve">Neill, E., Meyer, D., </w:t>
      </w:r>
      <w:proofErr w:type="spellStart"/>
      <w:r w:rsidRPr="000F63B2">
        <w:rPr>
          <w:rFonts w:ascii="Arial" w:hAnsi="Arial" w:cs="Arial"/>
          <w:lang w:val="en-US"/>
        </w:rPr>
        <w:t>Toh</w:t>
      </w:r>
      <w:proofErr w:type="spellEnd"/>
      <w:r w:rsidRPr="000F63B2">
        <w:rPr>
          <w:rFonts w:ascii="Arial" w:hAnsi="Arial" w:cs="Arial"/>
          <w:lang w:val="en-US"/>
        </w:rPr>
        <w:t xml:space="preserve">, W. L., van </w:t>
      </w:r>
      <w:proofErr w:type="spellStart"/>
      <w:r w:rsidRPr="000F63B2">
        <w:rPr>
          <w:rFonts w:ascii="Arial" w:hAnsi="Arial" w:cs="Arial"/>
          <w:lang w:val="en-US"/>
        </w:rPr>
        <w:t>Rheenen</w:t>
      </w:r>
      <w:proofErr w:type="spellEnd"/>
      <w:r w:rsidRPr="000F63B2">
        <w:rPr>
          <w:rFonts w:ascii="Arial" w:hAnsi="Arial" w:cs="Arial"/>
          <w:lang w:val="en-US"/>
        </w:rPr>
        <w:t xml:space="preserve">, T. E., </w:t>
      </w:r>
      <w:proofErr w:type="spellStart"/>
      <w:r w:rsidRPr="000F63B2">
        <w:rPr>
          <w:rFonts w:ascii="Arial" w:hAnsi="Arial" w:cs="Arial"/>
          <w:lang w:val="en-US"/>
        </w:rPr>
        <w:t>Phillipou</w:t>
      </w:r>
      <w:proofErr w:type="spellEnd"/>
      <w:r w:rsidRPr="000F63B2">
        <w:rPr>
          <w:rFonts w:ascii="Arial" w:hAnsi="Arial" w:cs="Arial"/>
          <w:lang w:val="en-US"/>
        </w:rPr>
        <w:t xml:space="preserve">, A., Tan, E. J., &amp; </w:t>
      </w:r>
      <w:proofErr w:type="spellStart"/>
      <w:r w:rsidRPr="000F63B2">
        <w:rPr>
          <w:rFonts w:ascii="Arial" w:hAnsi="Arial" w:cs="Arial"/>
          <w:lang w:val="en-US"/>
        </w:rPr>
        <w:t>Rossell</w:t>
      </w:r>
      <w:proofErr w:type="spellEnd"/>
      <w:r w:rsidRPr="000F63B2">
        <w:rPr>
          <w:rFonts w:ascii="Arial" w:hAnsi="Arial" w:cs="Arial"/>
          <w:lang w:val="en-US"/>
        </w:rPr>
        <w:t xml:space="preserve">, S. L. (2020). Alcohol use in Australia during the early days of the COVID-19 pandemic: Initial results from the COLLATE project. </w:t>
      </w:r>
      <w:r w:rsidRPr="000F63B2">
        <w:rPr>
          <w:rFonts w:ascii="Arial" w:hAnsi="Arial" w:cs="Arial"/>
          <w:i/>
          <w:iCs/>
          <w:lang w:val="en-US"/>
        </w:rPr>
        <w:t>Psychiatry and Clinical Neurosciences</w:t>
      </w:r>
      <w:r w:rsidRPr="000F63B2">
        <w:rPr>
          <w:rFonts w:ascii="Arial" w:hAnsi="Arial" w:cs="Arial"/>
          <w:lang w:val="en-US"/>
        </w:rPr>
        <w:t xml:space="preserve">. </w:t>
      </w:r>
      <w:r w:rsidR="00BD6A65" w:rsidRPr="000F63B2">
        <w:rPr>
          <w:rFonts w:ascii="Arial" w:hAnsi="Arial" w:cs="Arial"/>
          <w:lang w:val="en-US"/>
        </w:rPr>
        <w:t>https://doi.org/10.1111/pcn.13099</w:t>
      </w:r>
    </w:p>
    <w:p w14:paraId="2FDA943F" w14:textId="7D1AFDDE" w:rsidR="00BD6A65" w:rsidRPr="000F63B2" w:rsidRDefault="0054283A" w:rsidP="00BD6A65">
      <w:pPr>
        <w:spacing w:after="0" w:line="240" w:lineRule="auto"/>
        <w:ind w:left="709" w:hanging="709"/>
        <w:jc w:val="both"/>
        <w:rPr>
          <w:rFonts w:ascii="Arial" w:hAnsi="Arial" w:cs="Arial"/>
          <w:lang w:val="en-US"/>
        </w:rPr>
      </w:pPr>
      <w:r w:rsidRPr="000F63B2">
        <w:rPr>
          <w:rFonts w:ascii="Arial" w:hAnsi="Arial" w:cs="Arial"/>
          <w:lang w:val="en-US"/>
        </w:rPr>
        <w:t xml:space="preserve">Newby, J. M., </w:t>
      </w:r>
      <w:proofErr w:type="spellStart"/>
      <w:r w:rsidRPr="000F63B2">
        <w:rPr>
          <w:rFonts w:ascii="Arial" w:hAnsi="Arial" w:cs="Arial"/>
          <w:lang w:val="en-US"/>
        </w:rPr>
        <w:t>O’Moore</w:t>
      </w:r>
      <w:proofErr w:type="spellEnd"/>
      <w:r w:rsidRPr="000F63B2">
        <w:rPr>
          <w:rFonts w:ascii="Arial" w:hAnsi="Arial" w:cs="Arial"/>
          <w:lang w:val="en-US"/>
        </w:rPr>
        <w:t xml:space="preserve">, K., Tang, S., Christensen, H., &amp; </w:t>
      </w:r>
      <w:proofErr w:type="spellStart"/>
      <w:r w:rsidRPr="000F63B2">
        <w:rPr>
          <w:rFonts w:ascii="Arial" w:hAnsi="Arial" w:cs="Arial"/>
          <w:lang w:val="en-US"/>
        </w:rPr>
        <w:t>Faasse</w:t>
      </w:r>
      <w:proofErr w:type="spellEnd"/>
      <w:r w:rsidRPr="000F63B2">
        <w:rPr>
          <w:rFonts w:ascii="Arial" w:hAnsi="Arial" w:cs="Arial"/>
          <w:lang w:val="en-US"/>
        </w:rPr>
        <w:t xml:space="preserve">, K. (2020). Acute mental health responses during the COVID-19 pandemic in Australia. </w:t>
      </w:r>
      <w:proofErr w:type="spellStart"/>
      <w:r w:rsidRPr="000F63B2">
        <w:rPr>
          <w:rFonts w:ascii="Arial" w:hAnsi="Arial" w:cs="Arial"/>
          <w:i/>
          <w:iCs/>
          <w:lang w:val="en-US"/>
        </w:rPr>
        <w:t>PloS</w:t>
      </w:r>
      <w:proofErr w:type="spellEnd"/>
      <w:r w:rsidRPr="000F63B2">
        <w:rPr>
          <w:rFonts w:ascii="Arial" w:hAnsi="Arial" w:cs="Arial"/>
          <w:i/>
          <w:iCs/>
          <w:lang w:val="en-US"/>
        </w:rPr>
        <w:t xml:space="preserve"> One</w:t>
      </w:r>
      <w:r w:rsidRPr="000F63B2">
        <w:rPr>
          <w:rFonts w:ascii="Arial" w:hAnsi="Arial" w:cs="Arial"/>
          <w:lang w:val="en-US"/>
        </w:rPr>
        <w:t xml:space="preserve">, </w:t>
      </w:r>
      <w:r w:rsidRPr="000F63B2">
        <w:rPr>
          <w:rFonts w:ascii="Arial" w:hAnsi="Arial" w:cs="Arial"/>
          <w:i/>
          <w:iCs/>
          <w:lang w:val="en-US"/>
        </w:rPr>
        <w:t>15</w:t>
      </w:r>
      <w:r w:rsidRPr="000F63B2">
        <w:rPr>
          <w:rFonts w:ascii="Arial" w:hAnsi="Arial" w:cs="Arial"/>
          <w:lang w:val="en-US"/>
        </w:rPr>
        <w:t xml:space="preserve">(7), </w:t>
      </w:r>
      <w:proofErr w:type="spellStart"/>
      <w:r w:rsidRPr="000F63B2">
        <w:rPr>
          <w:rFonts w:ascii="Arial" w:hAnsi="Arial" w:cs="Arial"/>
          <w:lang w:val="en-US"/>
        </w:rPr>
        <w:t>e0236562</w:t>
      </w:r>
      <w:proofErr w:type="spellEnd"/>
      <w:r w:rsidRPr="000F63B2">
        <w:rPr>
          <w:rFonts w:ascii="Arial" w:hAnsi="Arial" w:cs="Arial"/>
          <w:lang w:val="en-US"/>
        </w:rPr>
        <w:t xml:space="preserve">. </w:t>
      </w:r>
      <w:r w:rsidR="00BD6A65" w:rsidRPr="000F63B2">
        <w:rPr>
          <w:rFonts w:ascii="Arial" w:hAnsi="Arial" w:cs="Arial"/>
          <w:lang w:val="en-US"/>
        </w:rPr>
        <w:t>https://doi.org/10.1371/journal.pone.0236562</w:t>
      </w:r>
    </w:p>
    <w:p w14:paraId="346C9227" w14:textId="4937597F" w:rsidR="00BD6A65" w:rsidRPr="000F63B2" w:rsidRDefault="0054283A" w:rsidP="00BD6A65">
      <w:pPr>
        <w:spacing w:after="0" w:line="240" w:lineRule="auto"/>
        <w:ind w:left="709" w:hanging="709"/>
        <w:jc w:val="both"/>
        <w:rPr>
          <w:rFonts w:ascii="Arial" w:hAnsi="Arial" w:cs="Arial"/>
          <w:lang w:val="en-US"/>
        </w:rPr>
      </w:pPr>
      <w:r w:rsidRPr="000F63B2">
        <w:rPr>
          <w:rFonts w:ascii="Arial" w:hAnsi="Arial" w:cs="Arial"/>
          <w:lang w:val="en-US"/>
        </w:rPr>
        <w:t xml:space="preserve">North, C., Kawasaki, A., </w:t>
      </w:r>
      <w:proofErr w:type="spellStart"/>
      <w:r w:rsidRPr="000F63B2">
        <w:rPr>
          <w:rFonts w:ascii="Arial" w:hAnsi="Arial" w:cs="Arial"/>
          <w:lang w:val="en-US"/>
        </w:rPr>
        <w:t>Spitznagel</w:t>
      </w:r>
      <w:proofErr w:type="spellEnd"/>
      <w:r w:rsidRPr="000F63B2">
        <w:rPr>
          <w:rFonts w:ascii="Arial" w:hAnsi="Arial" w:cs="Arial"/>
          <w:lang w:val="en-US"/>
        </w:rPr>
        <w:t xml:space="preserve">, E., &amp; Hong, B. (2005). The Course of PTSD, Major Depression, Substance Abuse, and Somatization After a Natural Disaster. </w:t>
      </w:r>
      <w:r w:rsidRPr="000F63B2">
        <w:rPr>
          <w:rFonts w:ascii="Arial" w:hAnsi="Arial" w:cs="Arial"/>
          <w:i/>
          <w:iCs/>
          <w:lang w:val="en-US"/>
        </w:rPr>
        <w:t>The Journal of nervous and mental disease</w:t>
      </w:r>
      <w:r w:rsidRPr="000F63B2">
        <w:rPr>
          <w:rFonts w:ascii="Arial" w:hAnsi="Arial" w:cs="Arial"/>
          <w:lang w:val="en-US"/>
        </w:rPr>
        <w:t xml:space="preserve">, </w:t>
      </w:r>
      <w:r w:rsidRPr="000F63B2">
        <w:rPr>
          <w:rFonts w:ascii="Arial" w:hAnsi="Arial" w:cs="Arial"/>
          <w:i/>
          <w:iCs/>
          <w:lang w:val="en-US"/>
        </w:rPr>
        <w:t>192</w:t>
      </w:r>
      <w:r w:rsidRPr="000F63B2">
        <w:rPr>
          <w:rFonts w:ascii="Arial" w:hAnsi="Arial" w:cs="Arial"/>
          <w:lang w:val="en-US"/>
        </w:rPr>
        <w:t xml:space="preserve">, 823-829. </w:t>
      </w:r>
      <w:r w:rsidR="00BD6A65" w:rsidRPr="000F63B2">
        <w:rPr>
          <w:rFonts w:ascii="Arial" w:hAnsi="Arial" w:cs="Arial"/>
          <w:lang w:val="en-US"/>
        </w:rPr>
        <w:t>https://doi.org/10.1097/01.nmd.0000146911.52616.22</w:t>
      </w:r>
    </w:p>
    <w:p w14:paraId="0636FD93" w14:textId="304F960C" w:rsidR="00BD6A65" w:rsidRPr="000F63B2" w:rsidRDefault="0054283A" w:rsidP="00BD6A65">
      <w:pPr>
        <w:spacing w:after="0" w:line="240" w:lineRule="auto"/>
        <w:ind w:left="709" w:hanging="709"/>
        <w:jc w:val="both"/>
        <w:rPr>
          <w:rFonts w:ascii="Arial" w:hAnsi="Arial" w:cs="Arial"/>
          <w:lang w:val="en-US"/>
        </w:rPr>
      </w:pPr>
      <w:proofErr w:type="spellStart"/>
      <w:r w:rsidRPr="000F63B2">
        <w:rPr>
          <w:rFonts w:ascii="Arial" w:hAnsi="Arial" w:cs="Arial"/>
        </w:rPr>
        <w:t>Shimizu</w:t>
      </w:r>
      <w:proofErr w:type="spellEnd"/>
      <w:r w:rsidRPr="000F63B2">
        <w:rPr>
          <w:rFonts w:ascii="Arial" w:hAnsi="Arial" w:cs="Arial"/>
        </w:rPr>
        <w:t xml:space="preserve">, S., Aso, K., Noda, T., </w:t>
      </w:r>
      <w:proofErr w:type="spellStart"/>
      <w:r w:rsidRPr="000F63B2">
        <w:rPr>
          <w:rFonts w:ascii="Arial" w:hAnsi="Arial" w:cs="Arial"/>
        </w:rPr>
        <w:t>Ryukei</w:t>
      </w:r>
      <w:proofErr w:type="spellEnd"/>
      <w:r w:rsidRPr="000F63B2">
        <w:rPr>
          <w:rFonts w:ascii="Arial" w:hAnsi="Arial" w:cs="Arial"/>
        </w:rPr>
        <w:t xml:space="preserve">, S., </w:t>
      </w:r>
      <w:proofErr w:type="spellStart"/>
      <w:r w:rsidRPr="000F63B2">
        <w:rPr>
          <w:rFonts w:ascii="Arial" w:hAnsi="Arial" w:cs="Arial"/>
        </w:rPr>
        <w:t>Kochi</w:t>
      </w:r>
      <w:proofErr w:type="spellEnd"/>
      <w:r w:rsidRPr="000F63B2">
        <w:rPr>
          <w:rFonts w:ascii="Arial" w:hAnsi="Arial" w:cs="Arial"/>
        </w:rPr>
        <w:t xml:space="preserve">, Y., &amp; Yamamoto, N. (2000). </w:t>
      </w:r>
      <w:r w:rsidRPr="000F63B2">
        <w:rPr>
          <w:rFonts w:ascii="Arial" w:hAnsi="Arial" w:cs="Arial"/>
          <w:lang w:val="en-US"/>
        </w:rPr>
        <w:t xml:space="preserve">Natural disasters and alcohol consumption in a cultural context: The Great Hanshin Earthquake in Japan. </w:t>
      </w:r>
      <w:r w:rsidRPr="000F63B2">
        <w:rPr>
          <w:rFonts w:ascii="Arial" w:hAnsi="Arial" w:cs="Arial"/>
          <w:i/>
          <w:iCs/>
          <w:lang w:val="en-US"/>
        </w:rPr>
        <w:t>Addiction</w:t>
      </w:r>
      <w:r w:rsidRPr="000F63B2">
        <w:rPr>
          <w:rFonts w:ascii="Arial" w:hAnsi="Arial" w:cs="Arial"/>
          <w:lang w:val="en-US"/>
        </w:rPr>
        <w:t xml:space="preserve">, </w:t>
      </w:r>
      <w:r w:rsidRPr="000F63B2">
        <w:rPr>
          <w:rFonts w:ascii="Arial" w:hAnsi="Arial" w:cs="Arial"/>
          <w:i/>
          <w:iCs/>
          <w:lang w:val="en-US"/>
        </w:rPr>
        <w:t>95</w:t>
      </w:r>
      <w:r w:rsidRPr="000F63B2">
        <w:rPr>
          <w:rFonts w:ascii="Arial" w:hAnsi="Arial" w:cs="Arial"/>
          <w:lang w:val="en-US"/>
        </w:rPr>
        <w:t xml:space="preserve">(4), 529-536. </w:t>
      </w:r>
      <w:r w:rsidR="00BD6A65" w:rsidRPr="000F63B2">
        <w:rPr>
          <w:rFonts w:ascii="Arial" w:hAnsi="Arial" w:cs="Arial"/>
          <w:lang w:val="en-US"/>
        </w:rPr>
        <w:t>https://doi.org/10.1046/j.1360-0443.2000.9545295.x</w:t>
      </w:r>
    </w:p>
    <w:p w14:paraId="0DE1D21F" w14:textId="53D667C7" w:rsidR="00BD6A65" w:rsidRPr="000F63B2" w:rsidRDefault="0054283A" w:rsidP="00BD6A65">
      <w:pPr>
        <w:spacing w:after="0" w:line="240" w:lineRule="auto"/>
        <w:ind w:left="709" w:hanging="709"/>
        <w:jc w:val="both"/>
        <w:rPr>
          <w:rFonts w:ascii="Arial" w:hAnsi="Arial" w:cs="Arial"/>
          <w:lang w:val="en-US"/>
        </w:rPr>
      </w:pPr>
      <w:proofErr w:type="spellStart"/>
      <w:r w:rsidRPr="000F63B2">
        <w:rPr>
          <w:rFonts w:ascii="Arial" w:hAnsi="Arial" w:cs="Arial"/>
          <w:lang w:val="en-US"/>
        </w:rPr>
        <w:t>Sidor</w:t>
      </w:r>
      <w:proofErr w:type="spellEnd"/>
      <w:r w:rsidRPr="000F63B2">
        <w:rPr>
          <w:rFonts w:ascii="Arial" w:hAnsi="Arial" w:cs="Arial"/>
          <w:lang w:val="en-US"/>
        </w:rPr>
        <w:t xml:space="preserve">, A., &amp; </w:t>
      </w:r>
      <w:proofErr w:type="spellStart"/>
      <w:r w:rsidRPr="000F63B2">
        <w:rPr>
          <w:rFonts w:ascii="Arial" w:hAnsi="Arial" w:cs="Arial"/>
          <w:lang w:val="en-US"/>
        </w:rPr>
        <w:t>Rzymski</w:t>
      </w:r>
      <w:proofErr w:type="spellEnd"/>
      <w:r w:rsidRPr="000F63B2">
        <w:rPr>
          <w:rFonts w:ascii="Arial" w:hAnsi="Arial" w:cs="Arial"/>
          <w:lang w:val="en-US"/>
        </w:rPr>
        <w:t xml:space="preserve">, P. (2020). Dietary Choices and Habits during COVID-19 Lockdown: Experience from Poland. </w:t>
      </w:r>
      <w:r w:rsidRPr="000F63B2">
        <w:rPr>
          <w:rFonts w:ascii="Arial" w:hAnsi="Arial" w:cs="Arial"/>
          <w:i/>
          <w:iCs/>
          <w:lang w:val="en-US"/>
        </w:rPr>
        <w:t>Nutrients</w:t>
      </w:r>
      <w:r w:rsidRPr="000F63B2">
        <w:rPr>
          <w:rFonts w:ascii="Arial" w:hAnsi="Arial" w:cs="Arial"/>
          <w:lang w:val="en-US"/>
        </w:rPr>
        <w:t xml:space="preserve">, </w:t>
      </w:r>
      <w:r w:rsidRPr="000F63B2">
        <w:rPr>
          <w:rFonts w:ascii="Arial" w:hAnsi="Arial" w:cs="Arial"/>
          <w:i/>
          <w:iCs/>
          <w:lang w:val="en-US"/>
        </w:rPr>
        <w:t>12</w:t>
      </w:r>
      <w:r w:rsidRPr="000F63B2">
        <w:rPr>
          <w:rFonts w:ascii="Arial" w:hAnsi="Arial" w:cs="Arial"/>
          <w:lang w:val="en-US"/>
        </w:rPr>
        <w:t xml:space="preserve">(6). </w:t>
      </w:r>
      <w:r w:rsidR="00BD6A65" w:rsidRPr="000F63B2">
        <w:rPr>
          <w:rFonts w:ascii="Arial" w:hAnsi="Arial" w:cs="Arial"/>
          <w:lang w:val="en-US"/>
        </w:rPr>
        <w:t>https://doi.org/10.3390/nu12061657</w:t>
      </w:r>
    </w:p>
    <w:p w14:paraId="48EE5AF8" w14:textId="7646B1B3" w:rsidR="00BD6A65" w:rsidRPr="000F63B2" w:rsidRDefault="0054283A" w:rsidP="00BD6A65">
      <w:pPr>
        <w:spacing w:after="0" w:line="240" w:lineRule="auto"/>
        <w:ind w:left="709" w:hanging="709"/>
        <w:jc w:val="both"/>
        <w:rPr>
          <w:rFonts w:ascii="Arial" w:hAnsi="Arial" w:cs="Arial"/>
        </w:rPr>
      </w:pPr>
      <w:r w:rsidRPr="000F63B2">
        <w:rPr>
          <w:rFonts w:ascii="Arial" w:hAnsi="Arial" w:cs="Arial"/>
          <w:lang w:val="en-US"/>
        </w:rPr>
        <w:t xml:space="preserve">Smith, L., Jacob, L., </w:t>
      </w:r>
      <w:proofErr w:type="spellStart"/>
      <w:r w:rsidRPr="000F63B2">
        <w:rPr>
          <w:rFonts w:ascii="Arial" w:hAnsi="Arial" w:cs="Arial"/>
          <w:lang w:val="en-US"/>
        </w:rPr>
        <w:t>Yakkundi</w:t>
      </w:r>
      <w:proofErr w:type="spellEnd"/>
      <w:r w:rsidRPr="000F63B2">
        <w:rPr>
          <w:rFonts w:ascii="Arial" w:hAnsi="Arial" w:cs="Arial"/>
          <w:lang w:val="en-US"/>
        </w:rPr>
        <w:t xml:space="preserve">, A., McDermott, D., Armstrong, N. C., Barnett, Y., López-Sánchez, G. F., Martin, S., Butler, L., &amp; Tully, M. A. (2020). Correlates of symptoms of anxiety and depression and mental wellbeing associated with COVID-19: A cross-sectional study of UK-based respondents. </w:t>
      </w:r>
      <w:proofErr w:type="spellStart"/>
      <w:r w:rsidRPr="000F63B2">
        <w:rPr>
          <w:rFonts w:ascii="Arial" w:hAnsi="Arial" w:cs="Arial"/>
          <w:i/>
          <w:iCs/>
        </w:rPr>
        <w:t>Psychiatry</w:t>
      </w:r>
      <w:proofErr w:type="spellEnd"/>
      <w:r w:rsidRPr="000F63B2">
        <w:rPr>
          <w:rFonts w:ascii="Arial" w:hAnsi="Arial" w:cs="Arial"/>
          <w:i/>
          <w:iCs/>
        </w:rPr>
        <w:t xml:space="preserve"> </w:t>
      </w:r>
      <w:proofErr w:type="spellStart"/>
      <w:r w:rsidRPr="000F63B2">
        <w:rPr>
          <w:rFonts w:ascii="Arial" w:hAnsi="Arial" w:cs="Arial"/>
          <w:i/>
          <w:iCs/>
        </w:rPr>
        <w:t>Research</w:t>
      </w:r>
      <w:proofErr w:type="spellEnd"/>
      <w:r w:rsidRPr="000F63B2">
        <w:rPr>
          <w:rFonts w:ascii="Arial" w:hAnsi="Arial" w:cs="Arial"/>
        </w:rPr>
        <w:t xml:space="preserve">, </w:t>
      </w:r>
      <w:r w:rsidRPr="000F63B2">
        <w:rPr>
          <w:rFonts w:ascii="Arial" w:hAnsi="Arial" w:cs="Arial"/>
          <w:i/>
          <w:iCs/>
        </w:rPr>
        <w:t>291</w:t>
      </w:r>
      <w:r w:rsidRPr="000F63B2">
        <w:rPr>
          <w:rFonts w:ascii="Arial" w:hAnsi="Arial" w:cs="Arial"/>
        </w:rPr>
        <w:t xml:space="preserve">, 113138. </w:t>
      </w:r>
      <w:r w:rsidR="00BD6A65" w:rsidRPr="000F63B2">
        <w:rPr>
          <w:rFonts w:ascii="Arial" w:hAnsi="Arial" w:cs="Arial"/>
        </w:rPr>
        <w:t>https://doi.org/10.1016/j.psychres.2020.113138</w:t>
      </w:r>
    </w:p>
    <w:p w14:paraId="1E977BB5" w14:textId="4C8251D1" w:rsidR="00BD6A65" w:rsidRPr="000F63B2" w:rsidRDefault="0054283A" w:rsidP="00BD6A65">
      <w:pPr>
        <w:spacing w:after="0" w:line="240" w:lineRule="auto"/>
        <w:ind w:left="709" w:hanging="709"/>
        <w:jc w:val="both"/>
        <w:rPr>
          <w:rFonts w:ascii="Arial" w:hAnsi="Arial" w:cs="Arial"/>
        </w:rPr>
      </w:pPr>
      <w:r w:rsidRPr="000F63B2">
        <w:rPr>
          <w:rFonts w:ascii="Arial" w:hAnsi="Arial" w:cs="Arial"/>
          <w:i/>
          <w:iCs/>
        </w:rPr>
        <w:t xml:space="preserve">Un síndrome producido por diversos agentes nocivos - Selye 10 (2): 230 - J </w:t>
      </w:r>
      <w:proofErr w:type="spellStart"/>
      <w:r w:rsidRPr="000F63B2">
        <w:rPr>
          <w:rFonts w:ascii="Arial" w:hAnsi="Arial" w:cs="Arial"/>
          <w:i/>
          <w:iCs/>
        </w:rPr>
        <w:t>Neuropsychiatry</w:t>
      </w:r>
      <w:proofErr w:type="spellEnd"/>
      <w:r w:rsidRPr="000F63B2">
        <w:rPr>
          <w:rFonts w:ascii="Arial" w:hAnsi="Arial" w:cs="Arial"/>
          <w:i/>
          <w:iCs/>
        </w:rPr>
        <w:t xml:space="preserve"> Clin </w:t>
      </w:r>
      <w:proofErr w:type="spellStart"/>
      <w:r w:rsidRPr="000F63B2">
        <w:rPr>
          <w:rFonts w:ascii="Arial" w:hAnsi="Arial" w:cs="Arial"/>
          <w:i/>
          <w:iCs/>
        </w:rPr>
        <w:t>Neurosci</w:t>
      </w:r>
      <w:proofErr w:type="spellEnd"/>
      <w:r w:rsidRPr="000F63B2">
        <w:rPr>
          <w:rFonts w:ascii="Arial" w:hAnsi="Arial" w:cs="Arial"/>
        </w:rPr>
        <w:t xml:space="preserve">. (2008, enero 7). </w:t>
      </w:r>
      <w:r w:rsidR="00BD6A65" w:rsidRPr="000F63B2">
        <w:rPr>
          <w:rFonts w:ascii="Arial" w:hAnsi="Arial" w:cs="Arial"/>
        </w:rPr>
        <w:t>https://web.archive.org/web/20080107091947/http://neuro.psychiatryonline.org/cgi/content/full/10/2/230a</w:t>
      </w:r>
    </w:p>
    <w:p w14:paraId="16823C56" w14:textId="429EE761" w:rsidR="0054283A" w:rsidRPr="000F63B2" w:rsidRDefault="0054283A" w:rsidP="00BD6A65">
      <w:pPr>
        <w:spacing w:after="0" w:line="240" w:lineRule="auto"/>
        <w:ind w:left="709" w:hanging="709"/>
        <w:jc w:val="both"/>
        <w:rPr>
          <w:rFonts w:ascii="Arial" w:hAnsi="Arial" w:cs="Arial"/>
          <w:lang w:val="en-US"/>
        </w:rPr>
      </w:pPr>
      <w:r w:rsidRPr="000F63B2">
        <w:rPr>
          <w:rFonts w:ascii="Arial" w:hAnsi="Arial" w:cs="Arial"/>
          <w:lang w:val="en-US"/>
        </w:rPr>
        <w:t xml:space="preserve">Wang, Y., Duan, Z., Ma, Z., Mao, Y., Li, X., Wilson, A., Qin, H., </w:t>
      </w:r>
      <w:proofErr w:type="spellStart"/>
      <w:r w:rsidRPr="000F63B2">
        <w:rPr>
          <w:rFonts w:ascii="Arial" w:hAnsi="Arial" w:cs="Arial"/>
          <w:lang w:val="en-US"/>
        </w:rPr>
        <w:t>Ou</w:t>
      </w:r>
      <w:proofErr w:type="spellEnd"/>
      <w:r w:rsidRPr="000F63B2">
        <w:rPr>
          <w:rFonts w:ascii="Arial" w:hAnsi="Arial" w:cs="Arial"/>
          <w:lang w:val="en-US"/>
        </w:rPr>
        <w:t>, J., Peng, K., Zhou, F., Li, C., Liu, Z., &amp; Chen, R. (2020). Epidemiology of mental health problems among patients with cancer during COVID-</w:t>
      </w:r>
      <w:r w:rsidR="00BD6A65" w:rsidRPr="000F63B2">
        <w:rPr>
          <w:rFonts w:ascii="Arial" w:hAnsi="Arial" w:cs="Arial"/>
          <w:lang w:val="en-US"/>
        </w:rPr>
        <w:t>19 pandemic</w:t>
      </w:r>
      <w:r w:rsidRPr="000F63B2">
        <w:rPr>
          <w:rFonts w:ascii="Arial" w:hAnsi="Arial" w:cs="Arial"/>
          <w:lang w:val="en-US"/>
        </w:rPr>
        <w:t xml:space="preserve">. </w:t>
      </w:r>
      <w:proofErr w:type="spellStart"/>
      <w:r w:rsidRPr="000F63B2">
        <w:rPr>
          <w:rFonts w:ascii="Arial" w:hAnsi="Arial" w:cs="Arial"/>
          <w:i/>
          <w:iCs/>
        </w:rPr>
        <w:t>Translational</w:t>
      </w:r>
      <w:proofErr w:type="spellEnd"/>
      <w:r w:rsidRPr="000F63B2">
        <w:rPr>
          <w:rFonts w:ascii="Arial" w:hAnsi="Arial" w:cs="Arial"/>
          <w:i/>
          <w:iCs/>
        </w:rPr>
        <w:t xml:space="preserve"> </w:t>
      </w:r>
      <w:proofErr w:type="spellStart"/>
      <w:r w:rsidRPr="000F63B2">
        <w:rPr>
          <w:rFonts w:ascii="Arial" w:hAnsi="Arial" w:cs="Arial"/>
          <w:i/>
          <w:iCs/>
        </w:rPr>
        <w:t>Psychiatry</w:t>
      </w:r>
      <w:proofErr w:type="spellEnd"/>
      <w:r w:rsidRPr="000F63B2">
        <w:rPr>
          <w:rFonts w:ascii="Arial" w:hAnsi="Arial" w:cs="Arial"/>
        </w:rPr>
        <w:t xml:space="preserve">, </w:t>
      </w:r>
      <w:r w:rsidRPr="000F63B2">
        <w:rPr>
          <w:rFonts w:ascii="Arial" w:hAnsi="Arial" w:cs="Arial"/>
          <w:i/>
          <w:iCs/>
        </w:rPr>
        <w:t>10</w:t>
      </w:r>
      <w:r w:rsidRPr="000F63B2">
        <w:rPr>
          <w:rFonts w:ascii="Arial" w:hAnsi="Arial" w:cs="Arial"/>
        </w:rPr>
        <w:t>(1), 263. https://doi.org/10.1038/s41398-020-00950-y</w:t>
      </w:r>
    </w:p>
    <w:p w14:paraId="1081044C" w14:textId="77777777" w:rsidR="005271E4" w:rsidRPr="000F63B2" w:rsidRDefault="005271E4" w:rsidP="00606C9A">
      <w:pPr>
        <w:spacing w:after="0" w:line="240" w:lineRule="auto"/>
        <w:ind w:left="709" w:hanging="709"/>
        <w:jc w:val="both"/>
        <w:rPr>
          <w:rFonts w:ascii="Arial" w:hAnsi="Arial" w:cs="Arial"/>
          <w:bCs/>
          <w:sz w:val="24"/>
          <w:szCs w:val="24"/>
        </w:rPr>
      </w:pPr>
    </w:p>
    <w:sectPr w:rsidR="005271E4" w:rsidRPr="000F63B2" w:rsidSect="001A3874">
      <w:headerReference w:type="even" r:id="rId9"/>
      <w:headerReference w:type="default" r:id="rId10"/>
      <w:footerReference w:type="even" r:id="rId11"/>
      <w:footerReference w:type="default" r:id="rId12"/>
      <w:headerReference w:type="first" r:id="rId13"/>
      <w:type w:val="continuous"/>
      <w:pgSz w:w="11906" w:h="16838"/>
      <w:pgMar w:top="1440" w:right="1440" w:bottom="1440" w:left="1440" w:header="709" w:footer="709" w:gutter="0"/>
      <w:pgNumType w:start="13"/>
      <w:cols w:space="28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BBC36" w14:textId="77777777" w:rsidR="008530F5" w:rsidRDefault="008530F5" w:rsidP="007719E5">
      <w:pPr>
        <w:spacing w:after="0" w:line="240" w:lineRule="auto"/>
      </w:pPr>
      <w:r>
        <w:separator/>
      </w:r>
    </w:p>
  </w:endnote>
  <w:endnote w:type="continuationSeparator" w:id="0">
    <w:p w14:paraId="2352F527" w14:textId="77777777" w:rsidR="008530F5" w:rsidRDefault="008530F5"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75" w:type="pct"/>
      <w:tblBorders>
        <w:top w:val="single" w:sz="4" w:space="0" w:color="8064A2" w:themeColor="accent4"/>
      </w:tblBorders>
      <w:tblLook w:val="04A0" w:firstRow="1" w:lastRow="0" w:firstColumn="1" w:lastColumn="0" w:noHBand="0" w:noVBand="1"/>
    </w:tblPr>
    <w:tblGrid>
      <w:gridCol w:w="6010"/>
      <w:gridCol w:w="4665"/>
    </w:tblGrid>
    <w:tr w:rsidR="00910F68" w14:paraId="1C776A1E" w14:textId="77777777" w:rsidTr="00020BE7">
      <w:trPr>
        <w:trHeight w:val="360"/>
      </w:trPr>
      <w:tc>
        <w:tcPr>
          <w:tcW w:w="2815" w:type="pct"/>
          <w:shd w:val="clear" w:color="auto" w:fill="B2A1C7" w:themeFill="accent4" w:themeFillTint="99"/>
        </w:tcPr>
        <w:p w14:paraId="284F47D6" w14:textId="230EFAE6" w:rsidR="00910F68" w:rsidRPr="00A1780E" w:rsidRDefault="00910F68">
          <w:pPr>
            <w:pStyle w:val="Piedepgina"/>
            <w:rPr>
              <w:rFonts w:ascii="Arial" w:hAnsi="Arial" w:cs="Arial"/>
              <w:i/>
              <w:color w:val="C00000"/>
              <w:sz w:val="20"/>
              <w:szCs w:val="20"/>
            </w:rPr>
          </w:pPr>
          <w:r w:rsidRPr="00A1780E">
            <w:rPr>
              <w:rFonts w:ascii="Arial" w:hAnsi="Arial" w:cs="Arial"/>
              <w:i/>
              <w:color w:val="C00000"/>
              <w:sz w:val="20"/>
              <w:szCs w:val="20"/>
            </w:rPr>
            <w:t xml:space="preserve">Revista Científica Retos de la Ciencia. </w:t>
          </w:r>
          <w:r w:rsidR="0054283A">
            <w:rPr>
              <w:rFonts w:ascii="Arial" w:hAnsi="Arial" w:cs="Arial"/>
              <w:i/>
              <w:color w:val="C00000"/>
              <w:sz w:val="20"/>
              <w:szCs w:val="20"/>
            </w:rPr>
            <w:t>5</w:t>
          </w:r>
          <w:r w:rsidRPr="00A1780E">
            <w:rPr>
              <w:rFonts w:ascii="Arial" w:hAnsi="Arial" w:cs="Arial"/>
              <w:i/>
              <w:color w:val="C00000"/>
              <w:sz w:val="20"/>
              <w:szCs w:val="20"/>
            </w:rPr>
            <w:t>(</w:t>
          </w:r>
          <w:r w:rsidR="0054283A">
            <w:rPr>
              <w:rFonts w:ascii="Arial" w:hAnsi="Arial" w:cs="Arial"/>
              <w:i/>
              <w:color w:val="C00000"/>
              <w:sz w:val="20"/>
              <w:szCs w:val="20"/>
            </w:rPr>
            <w:t>1</w:t>
          </w:r>
          <w:r w:rsidR="00E746AE">
            <w:rPr>
              <w:rFonts w:ascii="Arial" w:hAnsi="Arial" w:cs="Arial"/>
              <w:i/>
              <w:color w:val="C00000"/>
              <w:sz w:val="20"/>
              <w:szCs w:val="20"/>
            </w:rPr>
            <w:t>1</w:t>
          </w:r>
          <w:r w:rsidRPr="00A1780E">
            <w:rPr>
              <w:rFonts w:ascii="Arial" w:hAnsi="Arial" w:cs="Arial"/>
              <w:i/>
              <w:color w:val="C00000"/>
              <w:sz w:val="20"/>
              <w:szCs w:val="20"/>
            </w:rPr>
            <w:t xml:space="preserve">), pp. </w:t>
          </w:r>
          <w:r w:rsidR="001A3874">
            <w:rPr>
              <w:rFonts w:ascii="Arial" w:hAnsi="Arial" w:cs="Arial"/>
              <w:i/>
              <w:color w:val="C00000"/>
              <w:sz w:val="20"/>
              <w:szCs w:val="20"/>
            </w:rPr>
            <w:t>13-24</w:t>
          </w:r>
          <w:r w:rsidR="00D96864">
            <w:rPr>
              <w:rFonts w:ascii="Arial" w:hAnsi="Arial" w:cs="Arial"/>
              <w:i/>
              <w:color w:val="C00000"/>
              <w:sz w:val="20"/>
              <w:szCs w:val="20"/>
            </w:rPr>
            <w:t>.</w:t>
          </w:r>
        </w:p>
        <w:p w14:paraId="04839BB0" w14:textId="77777777" w:rsidR="00910F68" w:rsidRPr="00522B36" w:rsidRDefault="00910F68" w:rsidP="00AA1936">
          <w:pPr>
            <w:pStyle w:val="Piedepgina"/>
            <w:tabs>
              <w:tab w:val="clear" w:pos="4252"/>
              <w:tab w:val="clear" w:pos="8504"/>
              <w:tab w:val="center" w:pos="1576"/>
              <w:tab w:val="left" w:pos="2053"/>
              <w:tab w:val="left" w:pos="2547"/>
            </w:tabs>
            <w:rPr>
              <w:b/>
              <w:color w:val="943634" w:themeColor="accent2" w:themeShade="BF"/>
            </w:rPr>
          </w:pPr>
          <w:r w:rsidRPr="00A1780E">
            <w:rPr>
              <w:rFonts w:ascii="Arial" w:hAnsi="Arial" w:cs="Arial"/>
              <w:b/>
              <w:color w:val="C00000"/>
              <w:sz w:val="20"/>
              <w:szCs w:val="20"/>
            </w:rPr>
            <w:t xml:space="preserve"> </w:t>
          </w:r>
          <w:r w:rsidRPr="00A1780E">
            <w:rPr>
              <w:rFonts w:ascii="Arial" w:hAnsi="Arial" w:cs="Arial"/>
              <w:b/>
              <w:color w:val="C00000"/>
              <w:sz w:val="20"/>
              <w:szCs w:val="20"/>
            </w:rPr>
            <w:fldChar w:fldCharType="begin"/>
          </w:r>
          <w:r w:rsidRPr="00A1780E">
            <w:rPr>
              <w:rFonts w:ascii="Arial" w:hAnsi="Arial" w:cs="Arial"/>
              <w:b/>
              <w:color w:val="C00000"/>
              <w:sz w:val="20"/>
              <w:szCs w:val="20"/>
            </w:rPr>
            <w:instrText>PAGE   \* MERGEFORMAT</w:instrText>
          </w:r>
          <w:r w:rsidRPr="00A1780E">
            <w:rPr>
              <w:rFonts w:ascii="Arial" w:hAnsi="Arial" w:cs="Arial"/>
              <w:b/>
              <w:color w:val="C00000"/>
              <w:sz w:val="20"/>
              <w:szCs w:val="20"/>
            </w:rPr>
            <w:fldChar w:fldCharType="separate"/>
          </w:r>
          <w:r>
            <w:rPr>
              <w:rFonts w:ascii="Arial" w:hAnsi="Arial" w:cs="Arial"/>
              <w:b/>
              <w:noProof/>
              <w:color w:val="C00000"/>
              <w:sz w:val="20"/>
              <w:szCs w:val="20"/>
            </w:rPr>
            <w:t>28</w:t>
          </w:r>
          <w:r w:rsidRPr="00A1780E">
            <w:rPr>
              <w:rFonts w:ascii="Arial" w:hAnsi="Arial" w:cs="Arial"/>
              <w:b/>
              <w:color w:val="C00000"/>
              <w:sz w:val="20"/>
              <w:szCs w:val="20"/>
            </w:rPr>
            <w:fldChar w:fldCharType="end"/>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r w:rsidRPr="00B4046A">
            <w:rPr>
              <w:rFonts w:ascii="Arial" w:hAnsi="Arial" w:cs="Arial"/>
              <w:b/>
              <w:color w:val="943634" w:themeColor="accent2" w:themeShade="BF"/>
              <w:sz w:val="20"/>
              <w:szCs w:val="20"/>
            </w:rPr>
            <w:tab/>
          </w:r>
        </w:p>
      </w:tc>
      <w:tc>
        <w:tcPr>
          <w:tcW w:w="2185" w:type="pct"/>
        </w:tcPr>
        <w:p w14:paraId="47F8523B" w14:textId="77777777" w:rsidR="00910F68" w:rsidRPr="00522B36" w:rsidRDefault="00910F68">
          <w:pPr>
            <w:pStyle w:val="Piedepgina"/>
            <w:rPr>
              <w:color w:val="943634" w:themeColor="accent2" w:themeShade="BF"/>
            </w:rPr>
          </w:pPr>
        </w:p>
      </w:tc>
    </w:tr>
  </w:tbl>
  <w:p w14:paraId="3B8C2D8F" w14:textId="77777777" w:rsidR="00E522CE" w:rsidRDefault="00E522CE" w:rsidP="001A7E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9" w:type="pct"/>
      <w:tblBorders>
        <w:top w:val="single" w:sz="4" w:space="0" w:color="8064A2" w:themeColor="accent4"/>
      </w:tblBorders>
      <w:tblLook w:val="04A0" w:firstRow="1" w:lastRow="0" w:firstColumn="1" w:lastColumn="0" w:noHBand="0" w:noVBand="1"/>
    </w:tblPr>
    <w:tblGrid>
      <w:gridCol w:w="2375"/>
      <w:gridCol w:w="6754"/>
    </w:tblGrid>
    <w:tr w:rsidR="00910F68" w:rsidRPr="00A1780E" w14:paraId="41750EB6" w14:textId="77777777" w:rsidTr="0054283A">
      <w:trPr>
        <w:trHeight w:val="274"/>
      </w:trPr>
      <w:tc>
        <w:tcPr>
          <w:tcW w:w="1301" w:type="pct"/>
        </w:tcPr>
        <w:p w14:paraId="2C3F9589" w14:textId="1F009B7E" w:rsidR="00910F68" w:rsidRPr="00522B36" w:rsidRDefault="00910F68">
          <w:pPr>
            <w:pStyle w:val="Piedepgina"/>
            <w:jc w:val="right"/>
            <w:rPr>
              <w:b/>
              <w:color w:val="943634" w:themeColor="accent2" w:themeShade="BF"/>
            </w:rPr>
          </w:pPr>
        </w:p>
      </w:tc>
      <w:tc>
        <w:tcPr>
          <w:tcW w:w="3699" w:type="pct"/>
          <w:shd w:val="clear" w:color="auto" w:fill="8DB3E2" w:themeFill="text2" w:themeFillTint="66"/>
        </w:tcPr>
        <w:p w14:paraId="2F554CCF" w14:textId="6F6C9668" w:rsidR="0054283A" w:rsidRPr="0054283A" w:rsidRDefault="0054283A" w:rsidP="0054283A">
          <w:pPr>
            <w:pStyle w:val="Piedepgina"/>
            <w:tabs>
              <w:tab w:val="center" w:pos="1715"/>
              <w:tab w:val="right" w:pos="5880"/>
            </w:tabs>
            <w:ind w:left="-2450"/>
            <w:jc w:val="right"/>
            <w:rPr>
              <w:rFonts w:ascii="Arial" w:hAnsi="Arial" w:cs="Arial"/>
              <w:b/>
              <w:bCs/>
              <w:i/>
              <w:iCs/>
              <w:noProof/>
              <w:color w:val="C00000"/>
              <w:sz w:val="20"/>
              <w:lang w:val="es-EC"/>
            </w:rPr>
          </w:pPr>
          <w:r w:rsidRPr="0054283A">
            <w:rPr>
              <w:rFonts w:ascii="Arial" w:hAnsi="Arial" w:cs="Arial"/>
              <w:b/>
              <w:bCs/>
              <w:i/>
              <w:iCs/>
              <w:noProof/>
              <w:color w:val="C00000"/>
              <w:sz w:val="20"/>
              <w:lang w:val="es-EC"/>
            </w:rPr>
            <w:t>El estrés y el consumo de alcohol durante la pandemia de la covid-19</w:t>
          </w:r>
        </w:p>
        <w:p w14:paraId="429AA33C" w14:textId="2E3968C1" w:rsidR="00910F68" w:rsidRPr="00B5230C" w:rsidRDefault="00910F68" w:rsidP="00B5230C">
          <w:pPr>
            <w:pStyle w:val="Piedepgina"/>
            <w:tabs>
              <w:tab w:val="center" w:pos="1715"/>
              <w:tab w:val="right" w:pos="5880"/>
            </w:tabs>
            <w:ind w:left="-2450"/>
            <w:jc w:val="right"/>
            <w:rPr>
              <w:rFonts w:ascii="Arial" w:hAnsi="Arial" w:cs="Arial"/>
              <w:noProof/>
              <w:color w:val="C00000"/>
              <w:sz w:val="20"/>
            </w:rPr>
          </w:pPr>
          <w:r w:rsidRPr="00A1780E">
            <w:rPr>
              <w:rFonts w:ascii="Arial" w:hAnsi="Arial" w:cs="Arial"/>
              <w:noProof/>
              <w:color w:val="C00000"/>
              <w:sz w:val="20"/>
            </w:rPr>
            <w:fldChar w:fldCharType="begin"/>
          </w:r>
          <w:r w:rsidRPr="00A1780E">
            <w:rPr>
              <w:rFonts w:ascii="Arial" w:hAnsi="Arial" w:cs="Arial"/>
              <w:noProof/>
              <w:color w:val="C00000"/>
              <w:sz w:val="20"/>
            </w:rPr>
            <w:instrText>PAGE    \* MERGEFORMAT</w:instrText>
          </w:r>
          <w:r w:rsidRPr="00A1780E">
            <w:rPr>
              <w:rFonts w:ascii="Arial" w:hAnsi="Arial" w:cs="Arial"/>
              <w:noProof/>
              <w:color w:val="C00000"/>
              <w:sz w:val="20"/>
            </w:rPr>
            <w:fldChar w:fldCharType="separate"/>
          </w:r>
          <w:r>
            <w:rPr>
              <w:rFonts w:ascii="Arial" w:hAnsi="Arial" w:cs="Arial"/>
              <w:noProof/>
              <w:color w:val="C00000"/>
              <w:sz w:val="20"/>
            </w:rPr>
            <w:t>27</w:t>
          </w:r>
          <w:r w:rsidRPr="00A1780E">
            <w:rPr>
              <w:rFonts w:ascii="Arial" w:hAnsi="Arial" w:cs="Arial"/>
              <w:noProof/>
              <w:color w:val="C00000"/>
              <w:sz w:val="20"/>
            </w:rPr>
            <w:fldChar w:fldCharType="end"/>
          </w:r>
        </w:p>
      </w:tc>
    </w:tr>
  </w:tbl>
  <w:p w14:paraId="7DC4D81B" w14:textId="1B6D9961" w:rsidR="00E522CE" w:rsidRDefault="00E522CE" w:rsidP="004321F1">
    <w:pPr>
      <w:tabs>
        <w:tab w:val="left" w:pos="382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2B55E" w14:textId="77777777" w:rsidR="008530F5" w:rsidRDefault="008530F5" w:rsidP="007719E5">
      <w:pPr>
        <w:spacing w:after="0" w:line="240" w:lineRule="auto"/>
      </w:pPr>
      <w:r>
        <w:separator/>
      </w:r>
    </w:p>
  </w:footnote>
  <w:footnote w:type="continuationSeparator" w:id="0">
    <w:p w14:paraId="150D7F0A" w14:textId="77777777" w:rsidR="008530F5" w:rsidRDefault="008530F5" w:rsidP="007719E5">
      <w:pPr>
        <w:spacing w:after="0" w:line="240" w:lineRule="auto"/>
      </w:pPr>
      <w:r>
        <w:continuationSeparator/>
      </w:r>
    </w:p>
  </w:footnote>
  <w:footnote w:id="1">
    <w:p w14:paraId="1BB564FF" w14:textId="4B592EB6" w:rsidR="005271E4" w:rsidRPr="0054283A" w:rsidRDefault="005271E4" w:rsidP="0054283A">
      <w:pPr>
        <w:spacing w:after="0" w:line="240" w:lineRule="auto"/>
        <w:jc w:val="both"/>
        <w:rPr>
          <w:rFonts w:ascii="Arial" w:hAnsi="Arial" w:cs="Arial"/>
          <w:sz w:val="18"/>
          <w:szCs w:val="18"/>
          <w:lang w:val="es-EC"/>
        </w:rPr>
      </w:pPr>
      <w:r w:rsidRPr="001F49A9">
        <w:rPr>
          <w:rStyle w:val="Refdenotaalpie"/>
          <w:rFonts w:ascii="Times New Roman" w:hAnsi="Times New Roman" w:cs="Times New Roman"/>
          <w:sz w:val="18"/>
          <w:szCs w:val="18"/>
        </w:rPr>
        <w:footnoteRef/>
      </w:r>
      <w:r w:rsidR="001C053D" w:rsidRPr="001C053D">
        <w:rPr>
          <w:rFonts w:ascii="Arial" w:hAnsi="Arial" w:cs="Arial"/>
          <w:sz w:val="18"/>
          <w:szCs w:val="18"/>
          <w:lang w:val="es-EC"/>
        </w:rPr>
        <w:t xml:space="preserve">Especialista en Atención Primaria en </w:t>
      </w:r>
      <w:r w:rsidR="001C053D" w:rsidRPr="00281760">
        <w:rPr>
          <w:rFonts w:ascii="Arial" w:hAnsi="Arial" w:cs="Arial"/>
          <w:sz w:val="18"/>
          <w:szCs w:val="18"/>
          <w:lang w:val="es-EC"/>
        </w:rPr>
        <w:t xml:space="preserve">Salud. </w:t>
      </w:r>
      <w:r w:rsidR="00281760">
        <w:rPr>
          <w:rFonts w:ascii="Arial" w:hAnsi="Arial" w:cs="Arial"/>
          <w:sz w:val="18"/>
          <w:szCs w:val="18"/>
          <w:lang w:val="es-EC"/>
        </w:rPr>
        <w:t xml:space="preserve">Estudiante de la Maestría en Intervención Psicológica en Salud de la Facultad de Ciencias Psicológicas de la </w:t>
      </w:r>
      <w:r w:rsidR="00281760" w:rsidRPr="00281760">
        <w:rPr>
          <w:rFonts w:ascii="Arial" w:hAnsi="Arial" w:cs="Arial"/>
          <w:sz w:val="18"/>
          <w:szCs w:val="18"/>
          <w:lang w:val="es-EC"/>
        </w:rPr>
        <w:t>Universidad</w:t>
      </w:r>
      <w:r w:rsidR="00281760" w:rsidRPr="001C053D">
        <w:rPr>
          <w:rFonts w:ascii="Arial" w:hAnsi="Arial" w:cs="Arial"/>
          <w:sz w:val="18"/>
          <w:szCs w:val="18"/>
          <w:lang w:val="es-EC"/>
        </w:rPr>
        <w:t xml:space="preserve"> Central </w:t>
      </w:r>
      <w:r w:rsidR="00281760">
        <w:rPr>
          <w:rFonts w:ascii="Arial" w:hAnsi="Arial" w:cs="Arial"/>
          <w:sz w:val="18"/>
          <w:szCs w:val="18"/>
          <w:lang w:val="es-EC"/>
        </w:rPr>
        <w:t>d</w:t>
      </w:r>
      <w:r w:rsidR="00281760" w:rsidRPr="001C053D">
        <w:rPr>
          <w:rFonts w:ascii="Arial" w:hAnsi="Arial" w:cs="Arial"/>
          <w:sz w:val="18"/>
          <w:szCs w:val="18"/>
          <w:lang w:val="es-EC"/>
        </w:rPr>
        <w:t>el Ecuador</w:t>
      </w:r>
      <w:r w:rsidR="00281760">
        <w:rPr>
          <w:rFonts w:ascii="Arial" w:hAnsi="Arial" w:cs="Arial"/>
          <w:sz w:val="18"/>
          <w:szCs w:val="18"/>
          <w:lang w:val="es-EC"/>
        </w:rPr>
        <w:t xml:space="preserve">. </w:t>
      </w:r>
      <w:r w:rsidR="00D96864">
        <w:rPr>
          <w:rFonts w:ascii="Arial" w:hAnsi="Arial" w:cs="Arial"/>
          <w:sz w:val="18"/>
          <w:szCs w:val="18"/>
          <w:lang w:val="es-EC"/>
        </w:rPr>
        <w:t xml:space="preserve">Ecuador. </w:t>
      </w:r>
      <w:proofErr w:type="spellStart"/>
      <w:r w:rsidR="00281760">
        <w:rPr>
          <w:rFonts w:ascii="Arial" w:hAnsi="Arial" w:cs="Arial"/>
          <w:sz w:val="18"/>
          <w:szCs w:val="18"/>
          <w:lang w:val="es-EC"/>
        </w:rPr>
        <w:t>Fucionario</w:t>
      </w:r>
      <w:proofErr w:type="spellEnd"/>
      <w:r w:rsidR="00281760">
        <w:rPr>
          <w:rFonts w:ascii="Arial" w:hAnsi="Arial" w:cs="Arial"/>
          <w:sz w:val="18"/>
          <w:szCs w:val="18"/>
          <w:lang w:val="es-EC"/>
        </w:rPr>
        <w:t xml:space="preserve"> del Gobierno Autónomo Descentralizado de la Provincia de Pichinc</w:t>
      </w:r>
      <w:r w:rsidR="00F30C42">
        <w:rPr>
          <w:rFonts w:ascii="Arial" w:hAnsi="Arial" w:cs="Arial"/>
          <w:sz w:val="18"/>
          <w:szCs w:val="18"/>
          <w:lang w:val="es-EC"/>
        </w:rPr>
        <w:t>h</w:t>
      </w:r>
      <w:r w:rsidR="00281760">
        <w:rPr>
          <w:rFonts w:ascii="Arial" w:hAnsi="Arial" w:cs="Arial"/>
          <w:sz w:val="18"/>
          <w:szCs w:val="18"/>
          <w:lang w:val="es-EC"/>
        </w:rPr>
        <w:t>a.</w:t>
      </w:r>
      <w:r w:rsidR="004167AE">
        <w:rPr>
          <w:rFonts w:ascii="Arial" w:hAnsi="Arial" w:cs="Arial"/>
          <w:sz w:val="18"/>
          <w:szCs w:val="18"/>
          <w:lang w:val="es-EC"/>
        </w:rPr>
        <w:t xml:space="preserve"> </w:t>
      </w:r>
      <w:r w:rsidR="001C053D">
        <w:rPr>
          <w:rFonts w:ascii="Arial" w:hAnsi="Arial" w:cs="Arial"/>
          <w:sz w:val="18"/>
          <w:szCs w:val="18"/>
          <w:lang w:val="es-EC"/>
        </w:rPr>
        <w:t xml:space="preserve">Ecuador. Email: </w:t>
      </w:r>
      <w:hyperlink r:id="rId1" w:history="1">
        <w:r w:rsidR="001C053D" w:rsidRPr="001C053D">
          <w:rPr>
            <w:rStyle w:val="Hipervnculo"/>
            <w:rFonts w:ascii="Arial" w:hAnsi="Arial" w:cs="Arial"/>
            <w:sz w:val="18"/>
            <w:szCs w:val="18"/>
            <w:u w:val="none"/>
            <w:lang w:val="es-EC"/>
          </w:rPr>
          <w:t>wlandrade@uce.edu.ec</w:t>
        </w:r>
      </w:hyperlink>
      <w:r w:rsidR="001C053D">
        <w:rPr>
          <w:rFonts w:ascii="Arial" w:hAnsi="Arial" w:cs="Arial"/>
          <w:sz w:val="18"/>
          <w:szCs w:val="18"/>
        </w:rPr>
        <w:t xml:space="preserve"> / ORCID: </w:t>
      </w:r>
      <w:hyperlink r:id="rId2" w:history="1">
        <w:r w:rsidR="001C053D" w:rsidRPr="001C053D">
          <w:rPr>
            <w:rStyle w:val="Hipervnculo"/>
            <w:rFonts w:ascii="Arial" w:hAnsi="Arial" w:cs="Arial"/>
            <w:sz w:val="18"/>
            <w:szCs w:val="18"/>
            <w:lang w:val="es-EC"/>
          </w:rPr>
          <w:t>https://orcid.org/0000-0003-2314-9695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2809"/>
      <w:gridCol w:w="6447"/>
    </w:tblGrid>
    <w:tr w:rsidR="00910F68" w14:paraId="0AA40E4D" w14:textId="77777777" w:rsidTr="00AA1936">
      <w:tc>
        <w:tcPr>
          <w:tcW w:w="1500" w:type="pct"/>
          <w:tcBorders>
            <w:bottom w:val="single" w:sz="4" w:space="0" w:color="943634" w:themeColor="accent2" w:themeShade="BF"/>
          </w:tcBorders>
          <w:shd w:val="clear" w:color="auto" w:fill="403152" w:themeFill="accent4" w:themeFillShade="80"/>
          <w:vAlign w:val="bottom"/>
        </w:tcPr>
        <w:p w14:paraId="3BAC16F0" w14:textId="1093EC0D" w:rsidR="00910F68" w:rsidRPr="00477654" w:rsidRDefault="00910F68" w:rsidP="007719E5">
          <w:pPr>
            <w:pStyle w:val="Encabezado"/>
            <w:jc w:val="right"/>
            <w:rPr>
              <w:rFonts w:ascii="Arial" w:hAnsi="Arial" w:cs="Arial"/>
              <w:i/>
              <w:color w:val="FFFFFF" w:themeColor="background1"/>
              <w:sz w:val="20"/>
              <w:szCs w:val="20"/>
            </w:rPr>
          </w:pPr>
          <w:r w:rsidRPr="00477654">
            <w:rPr>
              <w:rFonts w:ascii="Arial" w:hAnsi="Arial" w:cs="Arial"/>
              <w:i/>
              <w:color w:val="FFFFFF" w:themeColor="background1"/>
              <w:sz w:val="20"/>
              <w:szCs w:val="20"/>
            </w:rPr>
            <w:t>www.retosdelaciencia</w:t>
          </w:r>
          <w:r w:rsidR="002B2620">
            <w:rPr>
              <w:rFonts w:ascii="Arial" w:hAnsi="Arial" w:cs="Arial"/>
              <w:i/>
              <w:color w:val="FFFFFF" w:themeColor="background1"/>
              <w:sz w:val="20"/>
              <w:szCs w:val="20"/>
            </w:rPr>
            <w:t>ec</w:t>
          </w:r>
          <w:r w:rsidRPr="00477654">
            <w:rPr>
              <w:rFonts w:ascii="Arial" w:hAnsi="Arial" w:cs="Arial"/>
              <w:i/>
              <w:color w:val="FFFFFF" w:themeColor="background1"/>
              <w:sz w:val="20"/>
              <w:szCs w:val="20"/>
            </w:rPr>
            <w:t>.com</w:t>
          </w:r>
          <w:r w:rsidR="002B2620">
            <w:rPr>
              <w:rFonts w:ascii="Arial" w:hAnsi="Arial" w:cs="Arial"/>
              <w:i/>
              <w:color w:val="FFFFFF" w:themeColor="background1"/>
              <w:sz w:val="20"/>
              <w:szCs w:val="20"/>
            </w:rPr>
            <w:t xml:space="preserve"> </w:t>
          </w:r>
        </w:p>
      </w:tc>
      <w:tc>
        <w:tcPr>
          <w:tcW w:w="4000" w:type="pct"/>
          <w:tcBorders>
            <w:bottom w:val="single" w:sz="4" w:space="0" w:color="auto"/>
          </w:tcBorders>
          <w:vAlign w:val="bottom"/>
        </w:tcPr>
        <w:p w14:paraId="53F8CB82" w14:textId="77777777" w:rsidR="00910F68" w:rsidRDefault="00910F68" w:rsidP="007719E5">
          <w:pPr>
            <w:pStyle w:val="Encabezado"/>
            <w:rPr>
              <w:color w:val="76923C" w:themeColor="accent3" w:themeShade="BF"/>
              <w:sz w:val="24"/>
            </w:rPr>
          </w:pPr>
        </w:p>
      </w:tc>
    </w:tr>
  </w:tbl>
  <w:p w14:paraId="10F7DFC3" w14:textId="77777777" w:rsidR="00E522CE" w:rsidRPr="00B410DE" w:rsidRDefault="00E522CE" w:rsidP="00B410DE">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5" w:type="pct"/>
      <w:tblCellMar>
        <w:top w:w="72" w:type="dxa"/>
        <w:left w:w="115" w:type="dxa"/>
        <w:bottom w:w="72" w:type="dxa"/>
        <w:right w:w="115" w:type="dxa"/>
      </w:tblCellMar>
      <w:tblLook w:val="04A0" w:firstRow="1" w:lastRow="0" w:firstColumn="1" w:lastColumn="0" w:noHBand="0" w:noVBand="1"/>
    </w:tblPr>
    <w:tblGrid>
      <w:gridCol w:w="5359"/>
      <w:gridCol w:w="3777"/>
    </w:tblGrid>
    <w:tr w:rsidR="001A7EBA" w:rsidRPr="001A7EBA" w14:paraId="63CDC4D1" w14:textId="77777777" w:rsidTr="004A2E29">
      <w:tc>
        <w:tcPr>
          <w:tcW w:w="2933" w:type="pct"/>
          <w:tcBorders>
            <w:bottom w:val="single" w:sz="4" w:space="0" w:color="auto"/>
          </w:tcBorders>
          <w:vAlign w:val="bottom"/>
        </w:tcPr>
        <w:p w14:paraId="131DC852" w14:textId="77777777" w:rsidR="00910F68" w:rsidRPr="00660499" w:rsidRDefault="00910F68">
          <w:pPr>
            <w:pStyle w:val="Encabezado"/>
            <w:jc w:val="right"/>
            <w:rPr>
              <w:color w:val="FFFFFF" w:themeColor="background1"/>
              <w:sz w:val="24"/>
              <w:szCs w:val="24"/>
            </w:rPr>
          </w:pPr>
        </w:p>
      </w:tc>
      <w:tc>
        <w:tcPr>
          <w:tcW w:w="2067" w:type="pct"/>
          <w:tcBorders>
            <w:bottom w:val="single" w:sz="4" w:space="0" w:color="943634" w:themeColor="accent2" w:themeShade="BF"/>
          </w:tcBorders>
          <w:shd w:val="clear" w:color="auto" w:fill="C00000"/>
          <w:vAlign w:val="bottom"/>
        </w:tcPr>
        <w:p w14:paraId="789AC03C" w14:textId="3D02AC6C" w:rsidR="00910F68" w:rsidRPr="001A7EBA" w:rsidRDefault="0054283A" w:rsidP="001A7EBA">
          <w:pPr>
            <w:spacing w:after="0" w:line="240" w:lineRule="auto"/>
            <w:ind w:firstLine="284"/>
            <w:jc w:val="right"/>
            <w:rPr>
              <w:rFonts w:ascii="Arial" w:hAnsi="Arial" w:cs="Arial"/>
              <w:b/>
              <w:bCs/>
              <w:i/>
              <w:iCs/>
              <w:noProof/>
              <w:color w:val="FFFFFF" w:themeColor="background1"/>
              <w:sz w:val="20"/>
            </w:rPr>
          </w:pPr>
          <w:r w:rsidRPr="0054283A">
            <w:rPr>
              <w:rFonts w:ascii="Arial" w:hAnsi="Arial" w:cs="Arial"/>
              <w:b/>
              <w:bCs/>
              <w:i/>
              <w:iCs/>
              <w:noProof/>
              <w:color w:val="FFFFFF" w:themeColor="background1"/>
              <w:sz w:val="20"/>
              <w:lang w:val="es-EC"/>
            </w:rPr>
            <w:t>Wilson Lenin Andrade Chauv</w:t>
          </w:r>
          <w:r w:rsidR="002B2620">
            <w:rPr>
              <w:rFonts w:ascii="Arial" w:hAnsi="Arial" w:cs="Arial"/>
              <w:b/>
              <w:bCs/>
              <w:i/>
              <w:iCs/>
              <w:noProof/>
              <w:color w:val="FFFFFF" w:themeColor="background1"/>
              <w:sz w:val="20"/>
              <w:lang w:val="es-EC"/>
            </w:rPr>
            <w:t>i</w:t>
          </w:r>
          <w:r w:rsidRPr="0054283A">
            <w:rPr>
              <w:rFonts w:ascii="Arial" w:hAnsi="Arial" w:cs="Arial"/>
              <w:b/>
              <w:bCs/>
              <w:i/>
              <w:iCs/>
              <w:noProof/>
              <w:color w:val="FFFFFF" w:themeColor="background1"/>
              <w:sz w:val="20"/>
              <w:lang w:val="es-EC"/>
            </w:rPr>
            <w:t>n</w:t>
          </w:r>
        </w:p>
      </w:tc>
    </w:tr>
  </w:tbl>
  <w:p w14:paraId="394F4758" w14:textId="77777777" w:rsidR="00F11CB2" w:rsidRPr="00582DB4" w:rsidRDefault="00F11CB2" w:rsidP="004321F1">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B2CFC" w14:textId="68C45E5D" w:rsidR="00910F68" w:rsidRDefault="00910F68" w:rsidP="00406CD9">
    <w:pPr>
      <w:pStyle w:val="Encabezado"/>
      <w:tabs>
        <w:tab w:val="clear" w:pos="4252"/>
        <w:tab w:val="clear" w:pos="8504"/>
        <w:tab w:val="left" w:pos="5090"/>
      </w:tabs>
      <w:ind w:right="-24"/>
    </w:pPr>
    <w:r>
      <w:rPr>
        <w:noProof/>
        <w:lang w:val="en-US"/>
      </w:rPr>
      <mc:AlternateContent>
        <mc:Choice Requires="wps">
          <w:drawing>
            <wp:anchor distT="0" distB="0" distL="114300" distR="114300" simplePos="0" relativeHeight="251656192" behindDoc="0" locked="0" layoutInCell="1" allowOverlap="1" wp14:anchorId="67C37C24" wp14:editId="42525E2C">
              <wp:simplePos x="0" y="0"/>
              <wp:positionH relativeFrom="column">
                <wp:posOffset>3994876</wp:posOffset>
              </wp:positionH>
              <wp:positionV relativeFrom="paragraph">
                <wp:posOffset>-137160</wp:posOffset>
              </wp:positionV>
              <wp:extent cx="1752600" cy="1403985"/>
              <wp:effectExtent l="0" t="0" r="0" b="127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3985"/>
                      </a:xfrm>
                      <a:prstGeom prst="rect">
                        <a:avLst/>
                      </a:prstGeom>
                      <a:noFill/>
                      <a:ln w="9525">
                        <a:noFill/>
                        <a:miter lim="800000"/>
                        <a:headEnd/>
                        <a:tailEnd/>
                      </a:ln>
                    </wps:spPr>
                    <wps:txbx>
                      <w:txbxContent>
                        <w:p w14:paraId="7A9379B6" w14:textId="760A37C4"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D96864">
                            <w:rPr>
                              <w:b/>
                              <w:color w:val="943634" w:themeColor="accent2" w:themeShade="BF"/>
                            </w:rPr>
                            <w:t>julio - diciembre</w:t>
                          </w:r>
                          <w:r w:rsidR="002B2620">
                            <w:rPr>
                              <w:b/>
                              <w:color w:val="943634" w:themeColor="accent2" w:themeShade="BF"/>
                            </w:rPr>
                            <w:t xml:space="preserve"> </w:t>
                          </w:r>
                          <w:r w:rsidR="00280F94">
                            <w:rPr>
                              <w:b/>
                              <w:color w:val="943634" w:themeColor="accent2" w:themeShade="BF"/>
                            </w:rPr>
                            <w:t>20</w:t>
                          </w:r>
                          <w:r w:rsidR="00CA4AFB">
                            <w:rPr>
                              <w:b/>
                              <w:color w:val="943634" w:themeColor="accent2" w:themeShade="BF"/>
                            </w:rPr>
                            <w:t>2</w:t>
                          </w:r>
                          <w:r w:rsidR="001C053D">
                            <w:rPr>
                              <w:b/>
                              <w:color w:val="943634" w:themeColor="accent2" w:themeShade="BF"/>
                            </w:rPr>
                            <w:t>1</w:t>
                          </w:r>
                        </w:p>
                        <w:p w14:paraId="1E9231CB" w14:textId="4B20FABA"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sidR="001C053D">
                            <w:rPr>
                              <w:b/>
                              <w:color w:val="943634" w:themeColor="accent2" w:themeShade="BF"/>
                            </w:rPr>
                            <w:t>5</w:t>
                          </w:r>
                          <w:r w:rsidRPr="00F060AC">
                            <w:rPr>
                              <w:b/>
                              <w:color w:val="943634" w:themeColor="accent2" w:themeShade="BF"/>
                            </w:rPr>
                            <w:t>, No.</w:t>
                          </w:r>
                          <w:r w:rsidR="00280F94">
                            <w:rPr>
                              <w:b/>
                              <w:color w:val="943634" w:themeColor="accent2" w:themeShade="BF"/>
                            </w:rPr>
                            <w:t xml:space="preserve"> </w:t>
                          </w:r>
                          <w:r w:rsidR="00D96864">
                            <w:rPr>
                              <w:b/>
                              <w:color w:val="943634" w:themeColor="accent2" w:themeShade="BF"/>
                            </w:rPr>
                            <w:t>11</w:t>
                          </w:r>
                        </w:p>
                        <w:p w14:paraId="1D5E6EE4" w14:textId="27E4EA60" w:rsidR="00910F68" w:rsidRPr="00CA4AFB" w:rsidRDefault="00D96864" w:rsidP="00CA4AFB">
                          <w:pPr>
                            <w:spacing w:after="0" w:line="240" w:lineRule="auto"/>
                            <w:ind w:right="-244"/>
                            <w:jc w:val="right"/>
                            <w:rPr>
                              <w:b/>
                              <w:color w:val="943634" w:themeColor="accent2" w:themeShade="BF"/>
                            </w:rPr>
                          </w:pPr>
                          <w:r>
                            <w:rPr>
                              <w:b/>
                              <w:color w:val="943634" w:themeColor="accent2" w:themeShade="BF"/>
                              <w:sz w:val="24"/>
                            </w:rPr>
                            <w:t>e-</w:t>
                          </w:r>
                          <w:r w:rsidR="00910F68" w:rsidRPr="009B17A7">
                            <w:rPr>
                              <w:b/>
                              <w:color w:val="943634" w:themeColor="accent2" w:themeShade="BF"/>
                              <w:sz w:val="24"/>
                            </w:rPr>
                            <w:t>ISSN</w:t>
                          </w:r>
                          <w:r>
                            <w:rPr>
                              <w:b/>
                              <w:color w:val="943634" w:themeColor="accent2" w:themeShade="BF"/>
                              <w:sz w:val="24"/>
                            </w:rPr>
                            <w:t>:</w:t>
                          </w:r>
                          <w:r w:rsidR="00910F68">
                            <w:rPr>
                              <w:b/>
                              <w:color w:val="943634" w:themeColor="accent2" w:themeShade="BF"/>
                              <w:sz w:val="24"/>
                            </w:rPr>
                            <w:t xml:space="preserve"> </w:t>
                          </w:r>
                          <w:r w:rsidR="00910F68" w:rsidRPr="009B17A7">
                            <w:rPr>
                              <w:b/>
                              <w:color w:val="943634" w:themeColor="accent2" w:themeShade="BF"/>
                              <w:sz w:val="24"/>
                            </w:rPr>
                            <w:t>2602-8247</w:t>
                          </w:r>
                        </w:p>
                      </w:txbxContent>
                    </wps:txbx>
                    <wps:bodyPr rot="0" vert="horz" wrap="square" lIns="91440" tIns="45720" rIns="18000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37C24" id="_x0000_t202" coordsize="21600,21600" o:spt="202" path="m,l,21600r21600,l21600,xe">
              <v:stroke joinstyle="miter"/>
              <v:path gradientshapeok="t" o:connecttype="rect"/>
            </v:shapetype>
            <v:shape id="_x0000_s1027" type="#_x0000_t202" style="position:absolute;margin-left:314.55pt;margin-top:-10.8pt;width:138pt;height:110.55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" filled="f" stroked="f">
              <v:textbox style="mso-fit-shape-to-text:t" inset=",,5mm">
                <w:txbxContent>
                  <w:p w14:paraId="7A9379B6" w14:textId="760A37C4" w:rsidR="00CA4AFB" w:rsidRDefault="00910F68" w:rsidP="00CA4AFB">
                    <w:pPr>
                      <w:spacing w:after="0" w:line="240" w:lineRule="auto"/>
                      <w:ind w:right="-244"/>
                      <w:jc w:val="right"/>
                      <w:rPr>
                        <w:b/>
                        <w:color w:val="943634" w:themeColor="accent2" w:themeShade="BF"/>
                      </w:rPr>
                    </w:pPr>
                    <w:r>
                      <w:rPr>
                        <w:b/>
                        <w:color w:val="943634" w:themeColor="accent2" w:themeShade="BF"/>
                        <w:sz w:val="18"/>
                      </w:rPr>
                      <w:t xml:space="preserve">       </w:t>
                    </w:r>
                    <w:r w:rsidR="00D96864">
                      <w:rPr>
                        <w:b/>
                        <w:color w:val="943634" w:themeColor="accent2" w:themeShade="BF"/>
                      </w:rPr>
                      <w:t>julio - diciembre</w:t>
                    </w:r>
                    <w:r w:rsidR="002B2620">
                      <w:rPr>
                        <w:b/>
                        <w:color w:val="943634" w:themeColor="accent2" w:themeShade="BF"/>
                      </w:rPr>
                      <w:t xml:space="preserve"> </w:t>
                    </w:r>
                    <w:r w:rsidR="00280F94">
                      <w:rPr>
                        <w:b/>
                        <w:color w:val="943634" w:themeColor="accent2" w:themeShade="BF"/>
                      </w:rPr>
                      <w:t>20</w:t>
                    </w:r>
                    <w:r w:rsidR="00CA4AFB">
                      <w:rPr>
                        <w:b/>
                        <w:color w:val="943634" w:themeColor="accent2" w:themeShade="BF"/>
                      </w:rPr>
                      <w:t>2</w:t>
                    </w:r>
                    <w:r w:rsidR="001C053D">
                      <w:rPr>
                        <w:b/>
                        <w:color w:val="943634" w:themeColor="accent2" w:themeShade="BF"/>
                      </w:rPr>
                      <w:t>1</w:t>
                    </w:r>
                  </w:p>
                  <w:p w14:paraId="1E9231CB" w14:textId="4B20FABA" w:rsidR="00CA4AFB" w:rsidRDefault="00910F68" w:rsidP="00CA4AFB">
                    <w:pPr>
                      <w:spacing w:after="0" w:line="240" w:lineRule="auto"/>
                      <w:ind w:right="-244"/>
                      <w:jc w:val="right"/>
                      <w:rPr>
                        <w:b/>
                        <w:color w:val="943634" w:themeColor="accent2" w:themeShade="BF"/>
                      </w:rPr>
                    </w:pPr>
                    <w:r w:rsidRPr="00F060AC">
                      <w:rPr>
                        <w:b/>
                        <w:color w:val="943634" w:themeColor="accent2" w:themeShade="BF"/>
                      </w:rPr>
                      <w:t xml:space="preserve">Vol. </w:t>
                    </w:r>
                    <w:r w:rsidR="001C053D">
                      <w:rPr>
                        <w:b/>
                        <w:color w:val="943634" w:themeColor="accent2" w:themeShade="BF"/>
                      </w:rPr>
                      <w:t>5</w:t>
                    </w:r>
                    <w:r w:rsidRPr="00F060AC">
                      <w:rPr>
                        <w:b/>
                        <w:color w:val="943634" w:themeColor="accent2" w:themeShade="BF"/>
                      </w:rPr>
                      <w:t>, No.</w:t>
                    </w:r>
                    <w:r w:rsidR="00280F94">
                      <w:rPr>
                        <w:b/>
                        <w:color w:val="943634" w:themeColor="accent2" w:themeShade="BF"/>
                      </w:rPr>
                      <w:t xml:space="preserve"> </w:t>
                    </w:r>
                    <w:r w:rsidR="00D96864">
                      <w:rPr>
                        <w:b/>
                        <w:color w:val="943634" w:themeColor="accent2" w:themeShade="BF"/>
                      </w:rPr>
                      <w:t>11</w:t>
                    </w:r>
                  </w:p>
                  <w:p w14:paraId="1D5E6EE4" w14:textId="27E4EA60" w:rsidR="00910F68" w:rsidRPr="00CA4AFB" w:rsidRDefault="00D96864" w:rsidP="00CA4AFB">
                    <w:pPr>
                      <w:spacing w:after="0" w:line="240" w:lineRule="auto"/>
                      <w:ind w:right="-244"/>
                      <w:jc w:val="right"/>
                      <w:rPr>
                        <w:b/>
                        <w:color w:val="943634" w:themeColor="accent2" w:themeShade="BF"/>
                      </w:rPr>
                    </w:pPr>
                    <w:r>
                      <w:rPr>
                        <w:b/>
                        <w:color w:val="943634" w:themeColor="accent2" w:themeShade="BF"/>
                        <w:sz w:val="24"/>
                      </w:rPr>
                      <w:t>e-</w:t>
                    </w:r>
                    <w:r w:rsidR="00910F68" w:rsidRPr="009B17A7">
                      <w:rPr>
                        <w:b/>
                        <w:color w:val="943634" w:themeColor="accent2" w:themeShade="BF"/>
                        <w:sz w:val="24"/>
                      </w:rPr>
                      <w:t>ISSN</w:t>
                    </w:r>
                    <w:r>
                      <w:rPr>
                        <w:b/>
                        <w:color w:val="943634" w:themeColor="accent2" w:themeShade="BF"/>
                        <w:sz w:val="24"/>
                      </w:rPr>
                      <w:t>:</w:t>
                    </w:r>
                    <w:r w:rsidR="00910F68">
                      <w:rPr>
                        <w:b/>
                        <w:color w:val="943634" w:themeColor="accent2" w:themeShade="BF"/>
                        <w:sz w:val="24"/>
                      </w:rPr>
                      <w:t xml:space="preserve"> </w:t>
                    </w:r>
                    <w:r w:rsidR="00910F68" w:rsidRPr="009B17A7">
                      <w:rPr>
                        <w:b/>
                        <w:color w:val="943634" w:themeColor="accent2" w:themeShade="BF"/>
                        <w:sz w:val="24"/>
                      </w:rPr>
                      <w:t>2602-8247</w:t>
                    </w:r>
                  </w:p>
                </w:txbxContent>
              </v:textbox>
            </v:shape>
          </w:pict>
        </mc:Fallback>
      </mc:AlternateContent>
    </w:r>
    <w:r>
      <w:rPr>
        <w:noProof/>
        <w:lang w:val="en-US"/>
      </w:rPr>
      <mc:AlternateContent>
        <mc:Choice Requires="wps">
          <w:drawing>
            <wp:anchor distT="0" distB="0" distL="114300" distR="114300" simplePos="0" relativeHeight="251654144" behindDoc="0" locked="0" layoutInCell="1" allowOverlap="1" wp14:anchorId="40AF69AF" wp14:editId="40D7972A">
              <wp:simplePos x="0" y="0"/>
              <wp:positionH relativeFrom="column">
                <wp:posOffset>-21771</wp:posOffset>
              </wp:positionH>
              <wp:positionV relativeFrom="paragraph">
                <wp:posOffset>491399</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5B13AC" id="7 Conector recto"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38.7pt" to="451.3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" strokecolor="#943634 [2405]"/>
          </w:pict>
        </mc:Fallback>
      </mc:AlternateContent>
    </w:r>
    <w:r>
      <w:rPr>
        <w:noProof/>
        <w:lang w:val="en-US"/>
      </w:rPr>
      <w:drawing>
        <wp:anchor distT="0" distB="0" distL="114300" distR="114300" simplePos="0" relativeHeight="251662336" behindDoc="1" locked="0" layoutInCell="1" allowOverlap="1" wp14:anchorId="25E9A652" wp14:editId="0F9E5AB4">
          <wp:simplePos x="0" y="0"/>
          <wp:positionH relativeFrom="column">
            <wp:posOffset>2704967</wp:posOffset>
          </wp:positionH>
          <wp:positionV relativeFrom="paragraph">
            <wp:posOffset>-3810</wp:posOffset>
          </wp:positionV>
          <wp:extent cx="840105" cy="297815"/>
          <wp:effectExtent l="0" t="0" r="0" b="6985"/>
          <wp:wrapNone/>
          <wp:docPr id="39" name="Imagen 2" descr="https://doaj.org/static/doaj/images/cc-by-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aj.org/static/doaj/images/cc-by-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0288" behindDoc="0" locked="0" layoutInCell="1" allowOverlap="1" wp14:anchorId="490A66BC" wp14:editId="2F140EBE">
              <wp:simplePos x="0" y="0"/>
              <wp:positionH relativeFrom="column">
                <wp:posOffset>-82550</wp:posOffset>
              </wp:positionH>
              <wp:positionV relativeFrom="paragraph">
                <wp:posOffset>173990</wp:posOffset>
              </wp:positionV>
              <wp:extent cx="2000250" cy="377825"/>
              <wp:effectExtent l="0" t="0" r="0"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77825"/>
                      </a:xfrm>
                      <a:prstGeom prst="rect">
                        <a:avLst/>
                      </a:prstGeom>
                      <a:noFill/>
                      <a:ln w="9525">
                        <a:noFill/>
                        <a:miter lim="800000"/>
                        <a:headEnd/>
                        <a:tailEnd/>
                      </a:ln>
                    </wps:spPr>
                    <wps:txbx>
                      <w:txbxContent>
                        <w:p w14:paraId="13555C2B" w14:textId="2F33B92C" w:rsidR="00910F68" w:rsidRPr="00F060AC" w:rsidRDefault="008530F5" w:rsidP="009B17A7">
                          <w:pPr>
                            <w:spacing w:after="0" w:line="240" w:lineRule="auto"/>
                            <w:ind w:right="-244"/>
                            <w:jc w:val="center"/>
                            <w:rPr>
                              <w:b/>
                              <w:color w:val="943634" w:themeColor="accent2" w:themeShade="BF"/>
                              <w:sz w:val="16"/>
                            </w:rPr>
                          </w:pPr>
                          <w:hyperlink r:id="rId3" w:history="1">
                            <w:r w:rsidR="001C053D" w:rsidRPr="004D6D1F">
                              <w:rPr>
                                <w:rStyle w:val="Hipervnculo"/>
                                <w:b/>
                                <w:sz w:val="16"/>
                              </w:rPr>
                              <w:t>http://retosdelacienciaec.com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0A66BC" id="_x0000_s1028" type="#_x0000_t202" style="position:absolute;margin-left:-6.5pt;margin-top:13.7pt;width:157.5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" filled="f" stroked="f">
              <v:textbox>
                <w:txbxContent>
                  <w:p w14:paraId="13555C2B" w14:textId="2F33B92C" w:rsidR="00910F68" w:rsidRPr="00F060AC" w:rsidRDefault="008530F5" w:rsidP="009B17A7">
                    <w:pPr>
                      <w:spacing w:after="0" w:line="240" w:lineRule="auto"/>
                      <w:ind w:right="-244"/>
                      <w:jc w:val="center"/>
                      <w:rPr>
                        <w:b/>
                        <w:color w:val="943634" w:themeColor="accent2" w:themeShade="BF"/>
                        <w:sz w:val="16"/>
                      </w:rPr>
                    </w:pPr>
                    <w:hyperlink r:id="rId4" w:history="1">
                      <w:r w:rsidR="001C053D" w:rsidRPr="004D6D1F">
                        <w:rPr>
                          <w:rStyle w:val="Hipervnculo"/>
                          <w:b/>
                          <w:sz w:val="16"/>
                        </w:rPr>
                        <w:t>http://retosdelacienciaec.com</w:t>
                      </w:r>
                    </w:hyperlink>
                  </w:p>
                  <w:p w14:paraId="4CBDAB3F" w14:textId="77777777" w:rsidR="00910F68" w:rsidRPr="00F060AC" w:rsidRDefault="00910F68" w:rsidP="009B17A7">
                    <w:pPr>
                      <w:spacing w:after="0" w:line="240" w:lineRule="auto"/>
                      <w:ind w:right="-244"/>
                      <w:jc w:val="center"/>
                      <w:rPr>
                        <w:b/>
                        <w:color w:val="943634" w:themeColor="accent2" w:themeShade="BF"/>
                        <w:sz w:val="16"/>
                      </w:rPr>
                    </w:pPr>
                    <w:r w:rsidRPr="00F060AC">
                      <w:rPr>
                        <w:b/>
                        <w:color w:val="943634" w:themeColor="accent2" w:themeShade="BF"/>
                        <w:sz w:val="16"/>
                      </w:rPr>
                      <w:t>mcrevistas@gmail.com</w:t>
                    </w:r>
                  </w:p>
                </w:txbxContent>
              </v:textbox>
            </v:shape>
          </w:pict>
        </mc:Fallback>
      </mc:AlternateContent>
    </w:r>
    <w:r>
      <w:rPr>
        <w:noProof/>
        <w:lang w:val="en-US"/>
      </w:rPr>
      <w:drawing>
        <wp:anchor distT="0" distB="0" distL="114300" distR="114300" simplePos="0" relativeHeight="251658240" behindDoc="0" locked="0" layoutInCell="1" allowOverlap="1" wp14:anchorId="2F865DB3" wp14:editId="1F9AC3B2">
          <wp:simplePos x="0" y="0"/>
          <wp:positionH relativeFrom="column">
            <wp:posOffset>-22860</wp:posOffset>
          </wp:positionH>
          <wp:positionV relativeFrom="paragraph">
            <wp:posOffset>-159909</wp:posOffset>
          </wp:positionV>
          <wp:extent cx="2062480" cy="316230"/>
          <wp:effectExtent l="0" t="0" r="0" b="7620"/>
          <wp:wrapNone/>
          <wp:docPr id="40"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2062480" cy="31623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2D125279"/>
    <w:multiLevelType w:val="hybridMultilevel"/>
    <w:tmpl w:val="014E8ABE"/>
    <w:lvl w:ilvl="0" w:tplc="03CCF1E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4EF9"/>
    <w:rsid w:val="000110E5"/>
    <w:rsid w:val="00016075"/>
    <w:rsid w:val="000164AF"/>
    <w:rsid w:val="00020BE7"/>
    <w:rsid w:val="000361C4"/>
    <w:rsid w:val="00042B81"/>
    <w:rsid w:val="000540E9"/>
    <w:rsid w:val="00055511"/>
    <w:rsid w:val="000558C0"/>
    <w:rsid w:val="00066A77"/>
    <w:rsid w:val="00067D3E"/>
    <w:rsid w:val="000713F5"/>
    <w:rsid w:val="00080356"/>
    <w:rsid w:val="000838B2"/>
    <w:rsid w:val="000843B5"/>
    <w:rsid w:val="00092057"/>
    <w:rsid w:val="00093439"/>
    <w:rsid w:val="00095D16"/>
    <w:rsid w:val="000A2983"/>
    <w:rsid w:val="000A67A4"/>
    <w:rsid w:val="000B5E7E"/>
    <w:rsid w:val="000B6BE6"/>
    <w:rsid w:val="000C4247"/>
    <w:rsid w:val="000C480F"/>
    <w:rsid w:val="000D22DD"/>
    <w:rsid w:val="000D682A"/>
    <w:rsid w:val="000E2AB9"/>
    <w:rsid w:val="000E602D"/>
    <w:rsid w:val="000F4B2A"/>
    <w:rsid w:val="000F63B2"/>
    <w:rsid w:val="00102F7E"/>
    <w:rsid w:val="00116AB0"/>
    <w:rsid w:val="00124EEE"/>
    <w:rsid w:val="00137C4B"/>
    <w:rsid w:val="001453CF"/>
    <w:rsid w:val="00176F8F"/>
    <w:rsid w:val="001775BE"/>
    <w:rsid w:val="001846CF"/>
    <w:rsid w:val="001A3874"/>
    <w:rsid w:val="001A7EBA"/>
    <w:rsid w:val="001B0901"/>
    <w:rsid w:val="001B13B6"/>
    <w:rsid w:val="001B2354"/>
    <w:rsid w:val="001C053D"/>
    <w:rsid w:val="001C38AB"/>
    <w:rsid w:val="00207DE2"/>
    <w:rsid w:val="0023639B"/>
    <w:rsid w:val="00245C22"/>
    <w:rsid w:val="002577A5"/>
    <w:rsid w:val="00280F94"/>
    <w:rsid w:val="00281760"/>
    <w:rsid w:val="002B2620"/>
    <w:rsid w:val="002B5753"/>
    <w:rsid w:val="002C0047"/>
    <w:rsid w:val="002D2CFD"/>
    <w:rsid w:val="002E4AD6"/>
    <w:rsid w:val="002F49CF"/>
    <w:rsid w:val="00300DF7"/>
    <w:rsid w:val="00302EBF"/>
    <w:rsid w:val="003042EB"/>
    <w:rsid w:val="00321358"/>
    <w:rsid w:val="00323BB1"/>
    <w:rsid w:val="00332581"/>
    <w:rsid w:val="003333A2"/>
    <w:rsid w:val="0033497B"/>
    <w:rsid w:val="00335368"/>
    <w:rsid w:val="00346678"/>
    <w:rsid w:val="00361A0C"/>
    <w:rsid w:val="0036591A"/>
    <w:rsid w:val="00366230"/>
    <w:rsid w:val="00367018"/>
    <w:rsid w:val="00382886"/>
    <w:rsid w:val="00382D83"/>
    <w:rsid w:val="00394600"/>
    <w:rsid w:val="003A1994"/>
    <w:rsid w:val="003A27DD"/>
    <w:rsid w:val="003A4EF9"/>
    <w:rsid w:val="003B6661"/>
    <w:rsid w:val="003B6CDB"/>
    <w:rsid w:val="003C1CD1"/>
    <w:rsid w:val="003C4F57"/>
    <w:rsid w:val="003D46B3"/>
    <w:rsid w:val="003F0E39"/>
    <w:rsid w:val="00406CD9"/>
    <w:rsid w:val="00410277"/>
    <w:rsid w:val="004159C9"/>
    <w:rsid w:val="004167AE"/>
    <w:rsid w:val="004167E3"/>
    <w:rsid w:val="00416C03"/>
    <w:rsid w:val="00422874"/>
    <w:rsid w:val="004321F1"/>
    <w:rsid w:val="0043380F"/>
    <w:rsid w:val="004349A6"/>
    <w:rsid w:val="00435E52"/>
    <w:rsid w:val="00461331"/>
    <w:rsid w:val="00466C54"/>
    <w:rsid w:val="00467727"/>
    <w:rsid w:val="00476CA5"/>
    <w:rsid w:val="00477654"/>
    <w:rsid w:val="004A2E29"/>
    <w:rsid w:val="004A72CE"/>
    <w:rsid w:val="004C4926"/>
    <w:rsid w:val="004C4A75"/>
    <w:rsid w:val="004D051F"/>
    <w:rsid w:val="004D6F02"/>
    <w:rsid w:val="004E43AE"/>
    <w:rsid w:val="004E4E0D"/>
    <w:rsid w:val="004E6B70"/>
    <w:rsid w:val="004E6E86"/>
    <w:rsid w:val="004F2502"/>
    <w:rsid w:val="004F2D1C"/>
    <w:rsid w:val="0050092C"/>
    <w:rsid w:val="00502F19"/>
    <w:rsid w:val="005106B6"/>
    <w:rsid w:val="00511442"/>
    <w:rsid w:val="00522B36"/>
    <w:rsid w:val="005271E4"/>
    <w:rsid w:val="00533620"/>
    <w:rsid w:val="0054283A"/>
    <w:rsid w:val="005463D8"/>
    <w:rsid w:val="00562375"/>
    <w:rsid w:val="00563B92"/>
    <w:rsid w:val="00565B2A"/>
    <w:rsid w:val="0057415E"/>
    <w:rsid w:val="005802B2"/>
    <w:rsid w:val="00582810"/>
    <w:rsid w:val="00582DB4"/>
    <w:rsid w:val="00592C4B"/>
    <w:rsid w:val="005A6AE9"/>
    <w:rsid w:val="005B258D"/>
    <w:rsid w:val="005C4F9C"/>
    <w:rsid w:val="005C51FA"/>
    <w:rsid w:val="005C6FFA"/>
    <w:rsid w:val="005D0922"/>
    <w:rsid w:val="005E2AED"/>
    <w:rsid w:val="005E5B2F"/>
    <w:rsid w:val="005F74E6"/>
    <w:rsid w:val="006008DB"/>
    <w:rsid w:val="006030FB"/>
    <w:rsid w:val="00603ECA"/>
    <w:rsid w:val="00605D24"/>
    <w:rsid w:val="00606C9A"/>
    <w:rsid w:val="00626296"/>
    <w:rsid w:val="006333DB"/>
    <w:rsid w:val="006375EC"/>
    <w:rsid w:val="00640CCD"/>
    <w:rsid w:val="00641950"/>
    <w:rsid w:val="00660499"/>
    <w:rsid w:val="00662BB1"/>
    <w:rsid w:val="00666878"/>
    <w:rsid w:val="00670ECB"/>
    <w:rsid w:val="00672F74"/>
    <w:rsid w:val="00682353"/>
    <w:rsid w:val="00687B3C"/>
    <w:rsid w:val="00696308"/>
    <w:rsid w:val="006A07F4"/>
    <w:rsid w:val="006A3B9D"/>
    <w:rsid w:val="006A6FB1"/>
    <w:rsid w:val="006D0EC9"/>
    <w:rsid w:val="006D1655"/>
    <w:rsid w:val="006E6C80"/>
    <w:rsid w:val="006F2BD2"/>
    <w:rsid w:val="007034BB"/>
    <w:rsid w:val="00704E05"/>
    <w:rsid w:val="007072CA"/>
    <w:rsid w:val="0071230C"/>
    <w:rsid w:val="00712D6A"/>
    <w:rsid w:val="00713150"/>
    <w:rsid w:val="007171D6"/>
    <w:rsid w:val="00726878"/>
    <w:rsid w:val="007314B4"/>
    <w:rsid w:val="007322BD"/>
    <w:rsid w:val="0074251D"/>
    <w:rsid w:val="00744D1C"/>
    <w:rsid w:val="007472C8"/>
    <w:rsid w:val="007551FD"/>
    <w:rsid w:val="0076793E"/>
    <w:rsid w:val="007719E5"/>
    <w:rsid w:val="00774B5F"/>
    <w:rsid w:val="00775C04"/>
    <w:rsid w:val="00776A48"/>
    <w:rsid w:val="00780739"/>
    <w:rsid w:val="00783FB3"/>
    <w:rsid w:val="007A1AC7"/>
    <w:rsid w:val="007A2470"/>
    <w:rsid w:val="007B3012"/>
    <w:rsid w:val="007C6204"/>
    <w:rsid w:val="007C7770"/>
    <w:rsid w:val="007D241B"/>
    <w:rsid w:val="007E4BF0"/>
    <w:rsid w:val="007E5122"/>
    <w:rsid w:val="008026DF"/>
    <w:rsid w:val="00820E99"/>
    <w:rsid w:val="00834712"/>
    <w:rsid w:val="00851698"/>
    <w:rsid w:val="008530F5"/>
    <w:rsid w:val="00853534"/>
    <w:rsid w:val="00863344"/>
    <w:rsid w:val="00864511"/>
    <w:rsid w:val="008A0053"/>
    <w:rsid w:val="008B04AC"/>
    <w:rsid w:val="008C098C"/>
    <w:rsid w:val="008C0C8C"/>
    <w:rsid w:val="008C1A08"/>
    <w:rsid w:val="008C5185"/>
    <w:rsid w:val="008D1A32"/>
    <w:rsid w:val="008F41C0"/>
    <w:rsid w:val="009063AA"/>
    <w:rsid w:val="00910F68"/>
    <w:rsid w:val="009201B2"/>
    <w:rsid w:val="00920C70"/>
    <w:rsid w:val="00933C95"/>
    <w:rsid w:val="0094681A"/>
    <w:rsid w:val="00952B91"/>
    <w:rsid w:val="00970268"/>
    <w:rsid w:val="00980944"/>
    <w:rsid w:val="0098496F"/>
    <w:rsid w:val="009864AB"/>
    <w:rsid w:val="009911D5"/>
    <w:rsid w:val="009958D0"/>
    <w:rsid w:val="009B17A7"/>
    <w:rsid w:val="009B7046"/>
    <w:rsid w:val="009B75D1"/>
    <w:rsid w:val="009C089A"/>
    <w:rsid w:val="009C38F4"/>
    <w:rsid w:val="009D5410"/>
    <w:rsid w:val="009E526A"/>
    <w:rsid w:val="009F1887"/>
    <w:rsid w:val="00A02E30"/>
    <w:rsid w:val="00A1780E"/>
    <w:rsid w:val="00A2031A"/>
    <w:rsid w:val="00A213C6"/>
    <w:rsid w:val="00A2366E"/>
    <w:rsid w:val="00A41ABC"/>
    <w:rsid w:val="00A421D4"/>
    <w:rsid w:val="00A50484"/>
    <w:rsid w:val="00A57D00"/>
    <w:rsid w:val="00A62470"/>
    <w:rsid w:val="00A62C10"/>
    <w:rsid w:val="00A67774"/>
    <w:rsid w:val="00A77895"/>
    <w:rsid w:val="00A81D31"/>
    <w:rsid w:val="00A85FF8"/>
    <w:rsid w:val="00A91708"/>
    <w:rsid w:val="00A94686"/>
    <w:rsid w:val="00A970C6"/>
    <w:rsid w:val="00A97614"/>
    <w:rsid w:val="00AA0A84"/>
    <w:rsid w:val="00AA0DB9"/>
    <w:rsid w:val="00AA0E19"/>
    <w:rsid w:val="00AA1936"/>
    <w:rsid w:val="00AC4071"/>
    <w:rsid w:val="00AD21DC"/>
    <w:rsid w:val="00AE443C"/>
    <w:rsid w:val="00AF6DA3"/>
    <w:rsid w:val="00B05157"/>
    <w:rsid w:val="00B13639"/>
    <w:rsid w:val="00B169F6"/>
    <w:rsid w:val="00B22C0A"/>
    <w:rsid w:val="00B315AB"/>
    <w:rsid w:val="00B37A60"/>
    <w:rsid w:val="00B4046A"/>
    <w:rsid w:val="00B410DE"/>
    <w:rsid w:val="00B465F1"/>
    <w:rsid w:val="00B51FCC"/>
    <w:rsid w:val="00B5230C"/>
    <w:rsid w:val="00B578EE"/>
    <w:rsid w:val="00B61539"/>
    <w:rsid w:val="00B76489"/>
    <w:rsid w:val="00B777FC"/>
    <w:rsid w:val="00BA58B8"/>
    <w:rsid w:val="00BA5BC1"/>
    <w:rsid w:val="00BA6E28"/>
    <w:rsid w:val="00BB1E26"/>
    <w:rsid w:val="00BB3CB2"/>
    <w:rsid w:val="00BC5FDD"/>
    <w:rsid w:val="00BC6481"/>
    <w:rsid w:val="00BD317E"/>
    <w:rsid w:val="00BD6A65"/>
    <w:rsid w:val="00C11C58"/>
    <w:rsid w:val="00C20FAE"/>
    <w:rsid w:val="00C232E7"/>
    <w:rsid w:val="00C373B5"/>
    <w:rsid w:val="00C41B22"/>
    <w:rsid w:val="00C43139"/>
    <w:rsid w:val="00C577AE"/>
    <w:rsid w:val="00C60490"/>
    <w:rsid w:val="00C61FC6"/>
    <w:rsid w:val="00C62AE8"/>
    <w:rsid w:val="00C72483"/>
    <w:rsid w:val="00C73D04"/>
    <w:rsid w:val="00C73F3C"/>
    <w:rsid w:val="00C76968"/>
    <w:rsid w:val="00C769F2"/>
    <w:rsid w:val="00C833BA"/>
    <w:rsid w:val="00CA0317"/>
    <w:rsid w:val="00CA0B4A"/>
    <w:rsid w:val="00CA4AFB"/>
    <w:rsid w:val="00CB5961"/>
    <w:rsid w:val="00CD71EA"/>
    <w:rsid w:val="00CE006D"/>
    <w:rsid w:val="00D03768"/>
    <w:rsid w:val="00D221A9"/>
    <w:rsid w:val="00D22D07"/>
    <w:rsid w:val="00D30422"/>
    <w:rsid w:val="00D31861"/>
    <w:rsid w:val="00D4496C"/>
    <w:rsid w:val="00D60ABE"/>
    <w:rsid w:val="00D64B77"/>
    <w:rsid w:val="00D72111"/>
    <w:rsid w:val="00D76E60"/>
    <w:rsid w:val="00D85315"/>
    <w:rsid w:val="00D94A5B"/>
    <w:rsid w:val="00D96864"/>
    <w:rsid w:val="00DA3419"/>
    <w:rsid w:val="00DB5BA8"/>
    <w:rsid w:val="00DD61EE"/>
    <w:rsid w:val="00DD7736"/>
    <w:rsid w:val="00DE527D"/>
    <w:rsid w:val="00DE52EF"/>
    <w:rsid w:val="00DE6EF6"/>
    <w:rsid w:val="00DF1C5C"/>
    <w:rsid w:val="00E3072F"/>
    <w:rsid w:val="00E32799"/>
    <w:rsid w:val="00E34015"/>
    <w:rsid w:val="00E522CE"/>
    <w:rsid w:val="00E53A3B"/>
    <w:rsid w:val="00E66F5B"/>
    <w:rsid w:val="00E73069"/>
    <w:rsid w:val="00E746AE"/>
    <w:rsid w:val="00E750CA"/>
    <w:rsid w:val="00E87573"/>
    <w:rsid w:val="00E93ACA"/>
    <w:rsid w:val="00E945BB"/>
    <w:rsid w:val="00E96C25"/>
    <w:rsid w:val="00EB496B"/>
    <w:rsid w:val="00EB5FD4"/>
    <w:rsid w:val="00EC5246"/>
    <w:rsid w:val="00ED13EC"/>
    <w:rsid w:val="00ED271F"/>
    <w:rsid w:val="00EE48F0"/>
    <w:rsid w:val="00EF131F"/>
    <w:rsid w:val="00EF42C1"/>
    <w:rsid w:val="00F021E9"/>
    <w:rsid w:val="00F060AC"/>
    <w:rsid w:val="00F11CB2"/>
    <w:rsid w:val="00F244D1"/>
    <w:rsid w:val="00F30092"/>
    <w:rsid w:val="00F30C42"/>
    <w:rsid w:val="00F42B6F"/>
    <w:rsid w:val="00F44007"/>
    <w:rsid w:val="00F442C3"/>
    <w:rsid w:val="00F452D8"/>
    <w:rsid w:val="00F51C50"/>
    <w:rsid w:val="00F82FBB"/>
    <w:rsid w:val="00F86F50"/>
    <w:rsid w:val="00F912D3"/>
    <w:rsid w:val="00F96E7E"/>
    <w:rsid w:val="00FB1C5B"/>
    <w:rsid w:val="00FC6BEA"/>
    <w:rsid w:val="00FC7B44"/>
    <w:rsid w:val="00FD71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styleId="Mencinsinresolver">
    <w:name w:val="Unresolved Mention"/>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orcid.org/0000-0003-2314-9695" TargetMode="External"/><Relationship Id="rId1" Type="http://schemas.openxmlformats.org/officeDocument/2006/relationships/hyperlink" Target="mailto:wlandrade@uce.edu.ec"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retosdelacienciaec.com" TargetMode="External"/><Relationship Id="rId2" Type="http://schemas.openxmlformats.org/officeDocument/2006/relationships/image" Target="media/image1.png"/><Relationship Id="rId1" Type="http://schemas.openxmlformats.org/officeDocument/2006/relationships/hyperlink" Target="https://creativecommons.org/licenses/by-sa/4.0/" TargetMode="External"/><Relationship Id="rId5" Type="http://schemas.openxmlformats.org/officeDocument/2006/relationships/image" Target="media/image2.jpeg"/><Relationship Id="rId4" Type="http://schemas.openxmlformats.org/officeDocument/2006/relationships/hyperlink" Target="http://retosdelacienciaec.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
    <b:Tag>Flo16</b:Tag>
    <b:SourceType>JournalArticle</b:SourceType>
    <b:Guid>{93B68F01-AAAA-4D03-82BA-2D146FE6A53C}</b:Guid>
    <b:Title>Centros de Apoyo y Desarrollo Educativo Profesional para la observación y disminución de la deserción universitaria</b:Title>
    <b:Year>2016</b:Year>
    <b:Institution>,  Año 9, No</b:Institution>
    <b:URL>https://www.lamjol.info/index.php/RCI/article/view/3049</b:URL>
    <b:Author>
      <b:Author>
        <b:NameList>
          <b:Person>
            <b:Last>Flores</b:Last>
            <b:First>W</b:First>
          </b:Person>
          <b:Person>
            <b:Last>Gutiérrez</b:Last>
            <b:First>E</b:First>
          </b:Person>
          <b:Person>
            <b:Last>Leon</b:Last>
            <b:First>O</b:First>
          </b:Person>
          <b:Person>
            <b:Last>Sarraipa</b:Last>
            <b:First>J</b:First>
          </b:Person>
          <b:Person>
            <b:Last>Pantoja</b:Last>
            <b:First>C</b:First>
          </b:Person>
          <b:Person>
            <b:Last>Merino</b:Last>
            <b:First>C</b:First>
          </b:Person>
          <b:Person>
            <b:Last>Calderón</b:Last>
            <b:First>D</b:First>
          </b:Person>
          <b:Person>
            <b:Last>Guinocchio</b:Last>
            <b:First>M</b:First>
          </b:Person>
          <b:Person>
            <b:Last>Rivera</b:Last>
            <b:First>M</b:First>
          </b:Person>
          <b:Person>
            <b:Last>Calderón</b:Last>
            <b:First>M</b:First>
          </b:Person>
          <b:Person>
            <b:Last>Boticario</b:Last>
            <b:First>J</b:First>
          </b:Person>
        </b:NameList>
      </b:Author>
    </b:Author>
    <b:JournalName>CIENCIA E INTERCULTURALIDAD</b:JournalName>
    <b:Volume>Volumen  18</b:Volume>
    <b:RefOrder>1</b:RefOrder>
  </b:Source>
  <b:Source>
    <b:Tag>Dur90</b:Tag>
    <b:SourceType>JournalArticle</b:SourceType>
    <b:Guid>{C2DF35E7-6F1A-4C23-AC8A-9D140ED3D1CE}</b:Guid>
    <b:Title>ANALISIS DE LA DESERCION ESTUDIANTIL EN LA UNIVERSIDAD AUTONOMA</b:Title>
    <b:Year>1990</b:Year>
    <b:URL>http://publicaciones.anuies.mx/pdfs/revista/Revista74_S1A3ES.pdf</b:URL>
    <b:Author>
      <b:Author>
        <b:NameList>
          <b:Person>
            <b:Last>Duran</b:Last>
            <b:First>J</b:First>
          </b:Person>
          <b:Person>
            <b:Last>Diaz</b:Last>
            <b:First>G</b:First>
          </b:Person>
        </b:NameList>
      </b:Author>
    </b:Author>
    <b:JournalName>Revista de Educación Superior</b:JournalName>
    <b:RefOrder>2</b:RefOrder>
  </b:Source>
  <b:Source>
    <b:Tag>Gar161</b:Tag>
    <b:SourceType>JournalArticle</b:SourceType>
    <b:Guid>{BA83D741-029C-4A89-9E9A-E7E3E752E170}</b:Guid>
    <b:Title>El papel de la procrastinación académica como factor de la deserción universitaria</b:Title>
    <b:JournalName>Revista Complutense de Educación</b:JournalName>
    <b:Year>2016</b:Year>
    <b:Author>
      <b:Author>
        <b:NameList>
          <b:Person>
            <b:Last>Garzón</b:Last>
            <b:First>A</b:First>
          </b:Person>
          <b:Person>
            <b:Last>Gil</b:Last>
            <b:First>J</b:First>
          </b:Person>
        </b:NameList>
      </b:Author>
    </b:Author>
    <b:Publisher>Ediciones Complutense</b:Publisher>
    <b:Volume>.v28</b:Volume>
    <b:Issue>n1.</b:Issue>
    <b:URL>http://dx.doi.org/10.5209/rev_</b:URL>
    <b:DOI>ISSN: 1130-2496</b:DOI>
    <b:RefOrder>3</b:RefOrder>
  </b:Source>
  <b:Source>
    <b:Tag>Tap18</b:Tag>
    <b:SourceType>DocumentFromInternetSite</b:SourceType>
    <b:Guid>{4246DC52-FE5F-4D86-944A-70CC8600D341}</b:Guid>
    <b:Author>
      <b:Author>
        <b:Corporate>UTI</b:Corporate>
      </b:Author>
      <b:ProducerName>
        <b:NameList>
          <b:Person>
            <b:Last>Indoamérica</b:Last>
            <b:First>Universidad</b:First>
            <b:Middle>Tecnológica</b:Middle>
          </b:Person>
        </b:NameList>
      </b:ProducerName>
    </b:Author>
    <b:Title>Modelo Educativo</b:Title>
    <b:InternetSiteTitle>uti.edu.ec</b:InternetSiteTitle>
    <b:Year>2018</b:Year>
    <b:URL>http://201.159.222.126/~utiweb/wp-content/uploads/2018/12/MODELO-EDUCATIVO-2018.pdf</b:URL>
    <b:YearAccessed>2019</b:YearAccessed>
    <b:MonthAccessed>04</b:MonthAccessed>
    <b:DayAccessed>21</b:DayAccessed>
    <b:RefOrder>14</b:RefOrder>
  </b:Source>
  <b:Source>
    <b:Tag>Tobre</b:Tag>
    <b:SourceType>JournalArticle</b:SourceType>
    <b:Guid>{F0C44163-4C22-4FC0-904B-A79BE1B7A435}</b:Guid>
    <b:Author>
      <b:Author>
        <b:NameList>
          <b:Person>
            <b:Last>Tobón</b:Last>
            <b:First>S.</b:First>
          </b:Person>
        </b:NameList>
      </b:Author>
    </b:Author>
    <b:Title>Educación pertinente para el desarrollo sustentable en la sociedad del conocimiento. J. Velez-Ramos (Moderador), The 1st International Conference on Tecnology, Science and Education for Sustainable Development</b:Title>
    <b:JournalName>CITED. Cong</b:JournalName>
    <b:Year>2017a, noviembre</b:Year>
    <b:URL>https://cife.edu.mx/recursos/2018/10/24/i-congreso-internacional-de-tecnologia-ciencia-y-educacion-para-el-desarrollo-sostenible-cited-2017/</b:URL>
    <b:RefOrder>15</b:RefOrder>
  </b:Source>
  <b:Source>
    <b:Tag>Tob181</b:Tag>
    <b:SourceType>JournalArticle</b:SourceType>
    <b:Guid>{CFB98A0B-3E48-4495-B249-D31654C346E9}</b:Guid>
    <b:Author>
      <b:Author>
        <b:NameList>
          <b:Person>
            <b:Last>Tobón</b:Last>
            <b:First>S.</b:First>
          </b:Person>
        </b:NameList>
      </b:Author>
    </b:Author>
    <b:Title>Guía para el diseño y rediseño curricular desde la socioformación y el pensamiento complejo.</b:Title>
    <b:JournalName>Mount Dora: Kresearch. </b:JournalName>
    <b:Year>2018</b:Year>
    <b:URL>https://cife.edu.mx/recursos/</b:URL>
    <b:RefOrder>16</b:RefOrder>
  </b:Source>
  <b:Source>
    <b:Tag>Abe16</b:Tag>
    <b:SourceType>JournalArticle</b:SourceType>
    <b:Guid>{8114C957-E75C-4C47-B36E-7E201344DCA3}</b:Guid>
    <b:Title>IDENTIDAD DE APRENDIZ COMO HERRAMIENTA  ANALÍTICA DE EXPERIENCIAS UNIVERSITARIAS EN EL CONTEXTO DE LA PERMANENCIA Y EL ABANDONO: PROPUESTA TEÓRICA*</b:Title>
    <b:Year>2016</b:Year>
    <b:URL>http://www.revistapaideia.cl/index.php/PAIDEIA/article/view/117</b:URL>
    <b:Author>
      <b:Author>
        <b:NameList>
          <b:Person>
            <b:Last>Abello</b:Last>
            <b:First>R.,</b:First>
          </b:Person>
          <b:Person>
            <b:Last>Vila</b:Last>
            <b:First>I</b:First>
          </b:Person>
          <b:Person>
            <b:Last>Lagos</b:Last>
            <b:First>I</b:First>
          </b:Person>
          <b:Person>
            <b:Last>Espinoza</b:Last>
            <b:First>C</b:First>
          </b:Person>
          <b:Person>
            <b:Last>Diaz</b:Last>
            <b:First>A</b:First>
          </b:Person>
        </b:NameList>
      </b:Author>
    </b:Author>
    <b:JournalName>PAIDEIA</b:JournalName>
    <b:Pages>11-34</b:Pages>
    <b:Issue>58</b:Issue>
    <b:DOI> ISSN 0716-4815</b:DOI>
    <b:RefOrder>18</b:RefOrder>
  </b:Source>
  <b:Source>
    <b:Tag>Nuñ20</b:Tag>
    <b:SourceType>JournalArticle</b:SourceType>
    <b:Guid>{98B04C58-8B6A-41D2-B0CB-549D89B9A5B6}</b:Guid>
    <b:Author>
      <b:Author>
        <b:NameList>
          <b:Person>
            <b:Last>Nuñez-Naranjo</b:Last>
            <b:First>Aracelly</b:First>
          </b:Person>
        </b:NameList>
      </b:Author>
    </b:Author>
    <b:Title>Deserción y estrategias de retención: un análisis desde la universidad particular.</b:Title>
    <b:JournalName>593 Digital Publisher CEIT</b:JournalName>
    <b:Year>2020</b:Year>
    <b:Pages>79-87</b:Pages>
    <b:Volume>5</b:Volume>
    <b:Issue>5-2</b:Issue>
    <b:URL>https://www.593dp.com/index.php/593_Digital_Publisher/article/view/306</b:URL>
    <b:DOI> https://doi.org/10.33386/593dp.2020.5-2.306</b:DOI>
    <b:RefOrder>25</b:RefOrder>
  </b:Source>
  <b:Source>
    <b:Tag>Ull14</b:Tag>
    <b:SourceType>Book</b:SourceType>
    <b:Guid>{96121BBD-70C3-48DD-9B7C-A0B852428CD6}</b:Guid>
    <b:Author>
      <b:Author>
        <b:NameList>
          <b:Person>
            <b:Last>Ulloa</b:Last>
            <b:First>M</b:First>
          </b:Person>
        </b:NameList>
      </b:Author>
    </b:Author>
    <b:Title>Análisis sobre la deserción de alumnos abocado a su retención, en una Universidad Privada</b:Title>
    <b:Year>2014</b:Year>
    <b:URL>https://books.google.es/books?id=WhYwDwAAQBAJ&amp;printsec=frontcover&amp;hl=es#v=onepage&amp;q&amp;f=false/</b:URL>
    <b:City>Mexico</b:City>
    <b:Publisher>Editorial Digital UNID</b:Publisher>
    <b:RefOrder>11</b:RefOrder>
  </b:Source>
  <b:Source>
    <b:Tag>San16</b:Tag>
    <b:SourceType>JournalArticle</b:SourceType>
    <b:Guid>{A814A5CF-F763-4423-A407-F87475812F13}</b:Guid>
    <b:Title>ESTUDIO PRELIMINAR SOBRE ESTRATEGIAS DE APRENDIZAJE EN ESTUDIANTES UNIVERSITARIOS DE PRIMER SEMESTRE, PONTIFICIA  UNIVERSIDAD CATÓLICA DEL ECUADOR SEDE SANTO DOMINGO</b:Title>
    <b:JournalName>AXIOMA</b:JournalName>
    <b:Year>2016</b:Year>
    <b:Pages>86-95</b:Pages>
    <b:Author>
      <b:Author>
        <b:NameList>
          <b:Person>
            <b:Last>Santibáñez</b:Last>
            <b:First>M</b:First>
          </b:Person>
          <b:Person>
            <b:Last>Sabando</b:Last>
            <b:First>R</b:First>
          </b:Person>
        </b:NameList>
      </b:Author>
      <b:Editor>
        <b:NameList>
          <b:Person>
            <b:Last>Ibarra</b:Last>
            <b:First>Pontificia</b:First>
            <b:Middle>Universidad Católica del Ecuador Sede</b:Middle>
          </b:Person>
        </b:NameList>
      </b:Editor>
    </b:Author>
    <b:City>Ibarra</b:City>
    <b:Month>Diciembre</b:Month>
    <b:Issue>N 15</b:Issue>
    <b:URL>http://axioma.pucesi.edu.ec/index.php/axioma/login?source=%2Findex.php%2Faxioma%2Farticle%2Fview%2F465</b:URL>
    <b:DOI>ISSN 1390-6267</b:DOI>
    <b:RefOrder>22</b:RefOrder>
  </b:Source>
  <b:Source>
    <b:Tag>Aco15</b:Tag>
    <b:SourceType>JournalArticle</b:SourceType>
    <b:Guid>{94DE0E21-89C8-451C-B46E-0E775498BED0}</b:Guid>
    <b:Title>Sistema de Formación Pedagógica en la Universidad de Otavalo en Ecuador</b:Title>
    <b:JournalName>Scielo</b:JournalName>
    <b:Year>2015</b:Year>
    <b:Author>
      <b:Author>
        <b:NameList>
          <b:Person>
            <b:Last>Acosta</b:Last>
            <b:First>A</b:First>
          </b:Person>
          <b:Person>
            <b:Last>Abreu</b:Last>
            <b:First>O</b:First>
          </b:Person>
          <b:Person>
            <b:Last>Coronel </b:Last>
            <b:First>M</b:First>
          </b:Person>
        </b:NameList>
      </b:Author>
      <b:Editor>
        <b:NameList>
          <b:Person>
            <b:Last>Universitaria</b:Last>
            <b:First>Formación</b:First>
          </b:Person>
        </b:NameList>
      </b:Editor>
    </b:Author>
    <b:City>o</b:City>
    <b:Volume>Vol 8</b:Volume>
    <b:Issue>Nº 2</b:Issue>
    <b:URL>http://www.scielo.cl/scielo.php?pid=S0718-50062015000200007&amp;script=sci_arttext&amp;tlng=pt</b:URL>
    <b:RefOrder>13</b:RefOrder>
  </b:Source>
  <b:Source>
    <b:Tag>Baz16</b:Tag>
    <b:SourceType>JournalArticle</b:SourceType>
    <b:Guid>{405CE5A7-1479-4BAD-8753-A943DC35A451}</b:Guid>
    <b:Title>DESERCIÓN ESTUDIANTIL UNIVERSITARIA EN ECUADOR Y SU FLUENCIA EN LA CALIDAD DEL EGRESADO</b:Title>
    <b:JournalName>Revista Magazine de las Ciencias    </b:JournalName>
    <b:Year>2016</b:Year>
    <b:City>Babahoyo.</b:City>
    <b:DOI>ISSN 2528-8091</b:DOI>
    <b:Author>
      <b:Author>
        <b:NameList>
          <b:Person>
            <b:Last> Bazantes</b:Last>
            <b:First>Z</b:First>
          </b:Person>
          <b:Person>
            <b:Last> Ruiz</b:Last>
            <b:First>M</b:First>
          </b:Person>
          <b:Person>
            <b:Last>Álvarez</b:Last>
            <b:First>M</b:First>
          </b:Person>
        </b:NameList>
      </b:Author>
      <b:Editor>
        <b:NameList>
          <b:Person>
            <b:Last>Ecuador.</b:Last>
            <b:First>Universidad</b:First>
            <b:Middle>Técnica de Babahoyo.</b:Middle>
          </b:Person>
        </b:NameList>
      </b:Editor>
    </b:Author>
    <b:RefOrder>4</b:RefOrder>
  </b:Source>
  <b:Source>
    <b:Tag>Var16</b:Tag>
    <b:SourceType>JournalArticle</b:SourceType>
    <b:Guid>{92418B8A-5A4E-40F0-9931-4CFD95936957}</b:Guid>
    <b:Title>MODELO DE PREVENCIÓN PRIMARIA Y SECUNDARIA ENFOCADO EN LA DISMINUCIÓN DE LA DESERCIÓN Y REPITENCIA ESTUDIANTIL EN  LA FACULTAD DE PSICOLOGÍA DE LA PUCE</b:Title>
    <b:JournalName>Revista PUCE</b:JournalName>
    <b:Year>2016</b:Year>
    <b:Pages>PP. 149-181</b:Pages>
    <b:Author>
      <b:Author>
        <b:NameList>
          <b:Person>
            <b:Last>Vargas</b:Last>
            <b:First>E</b:First>
          </b:Person>
          <b:Person>
            <b:Last>Barahona</b:Last>
            <b:First>P</b:First>
          </b:Person>
          <b:Person>
            <b:Last>Verkovitch</b:Last>
            <b:First>I</b:First>
          </b:Person>
        </b:NameList>
      </b:Author>
    </b:Author>
    <b:Volume>3</b:Volume>
    <b:Issue>Núm.103.</b:Issue>
    <b:DOI>ISSN 1390-7719</b:DOI>
    <b:RefOrder>32</b:RefOrder>
  </b:Source>
  <b:Source>
    <b:Tag>Gon17</b:Tag>
    <b:SourceType>JournalArticle</b:SourceType>
    <b:Guid>{E62A1E43-B0F1-4254-9C29-2EC13829D9D4}</b:Guid>
    <b:Title>Variables sociofamiliares asociadas al abandono de los estudios universitarios</b:Title>
    <b:Year>2017</b:Year>
    <b:Author>
      <b:Author>
        <b:NameList>
          <b:Person>
            <b:Last>Gonzalez</b:Last>
            <b:First>T.</b:First>
          </b:Person>
          <b:Person>
            <b:Last>Pedraza</b:Last>
            <b:First>I.</b:First>
          </b:Person>
        </b:NameList>
      </b:Author>
    </b:Author>
    <b:City>España</b:City>
    <b:URL>http://revistas.um.es/educatio)</b:URL>
    <b:DOI>ISSN edición impresa: 1699-2105</b:DOI>
    <b:RefOrder>24</b:RefOrder>
  </b:Source>
  <b:Source>
    <b:Tag>Álv17</b:Tag>
    <b:SourceType>JournalArticle</b:SourceType>
    <b:Guid>{565083A7-C180-4F12-9E54-E553AF0E9DA9}</b:Guid>
    <b:Title>ESTUDIOS SOBRE DESERCIÓN ACADÉMICA Y MEDIDAS ORIENTADORAS DE PREVENCIÓN EN LA UNIVERSIDAD DE LA LAGUNA (ESPAÑA) </b:Title>
    <b:JournalName>Revista Paradigma,</b:JournalName>
    <b:Year>2017</b:Year>
    <b:Pages>48-71</b:Pages>
    <b:Author>
      <b:Author>
        <b:NameList>
          <b:Person>
            <b:Last>Álvarez</b:Last>
            <b:First>P.</b:First>
          </b:Person>
          <b:Person>
            <b:Last>López</b:Last>
            <b:First>D.</b:First>
          </b:Person>
        </b:NameList>
      </b:Author>
    </b:Author>
    <b:City>España</b:City>
    <b:RefOrder>5</b:RefOrder>
  </b:Source>
  <b:Source>
    <b:Tag>Mar17</b:Tag>
    <b:SourceType>JournalArticle</b:SourceType>
    <b:Guid>{484A984F-A417-4080-82DD-8F1EC62D955A}</b:Guid>
    <b:Title>Determinación de factores para deserción de estudiantes en pregrado a través de las técnicas lluvia de ideas y MICMAC</b:Title>
    <b:JournalName>Revista ESPACIOS</b:JournalName>
    <b:Year>2017</b:Year>
    <b:Pages>24-32</b:Pages>
    <b:Author>
      <b:Author>
        <b:NameList>
          <b:Person>
            <b:Last>Martelo</b:Last>
            <b:First>R,</b:First>
          </b:Person>
          <b:Person>
            <b:Last>Jimenez</b:Last>
            <b:First>I</b:First>
          </b:Person>
          <b:Person>
            <b:Last>Villabona</b:Last>
            <b:First>N</b:First>
          </b:Person>
        </b:NameList>
      </b:Author>
    </b:Author>
    <b:Volume>vol. 38 </b:Volume>
    <b:Issue>(Nº 20) </b:Issue>
    <b:DOI>. ISSN 0798 1015</b:DOI>
    <b:RefOrder>9</b:RefOrder>
  </b:Source>
  <b:Source>
    <b:Tag>Zul17</b:Tag>
    <b:SourceType>JournalArticle</b:SourceType>
    <b:Guid>{A74FED70-ED60-4B16-A1DC-93075F4F20A4}</b:Guid>
    <b:Title>Diseño e Implementación de una Plataforma Digital para la Gestión de Tutorías y su Impacto en la Deserción de Estudiantes de Nivel Superior</b:Title>
    <b:JournalName>  RIED</b:JournalName>
    <b:Year>2017</b:Year>
    <b:Pages> pp 231-255</b:Pages>
    <b:Author>
      <b:Author>
        <b:NameList>
          <b:Person>
            <b:Last>Zulma</b:Last>
            <b:First>M,</b:First>
          </b:Person>
          <b:Person>
            <b:Last>Vega</b:Last>
            <b:First>Y.</b:First>
          </b:Person>
          <b:Person>
            <b:Last>Nivardy</b:Last>
            <b:First>C</b:First>
          </b:Person>
          <b:Person>
            <b:Last>Hernández</b:Last>
            <b:First>J.</b:First>
          </b:Person>
        </b:NameList>
      </b:Author>
    </b:Author>
    <b:City>México. </b:City>
    <b:Volume> v. 18: 1</b:Volume>
    <b:Issue>No. 1</b:Issue>
    <b:URL>http://dsc.itmorelia.edu.mx/TADDI2/</b:URL>
    <b:DOI> I.S.S.N.: 1138-2783 </b:DOI>
    <b:RefOrder>21</b:RefOrder>
  </b:Source>
  <b:Source>
    <b:Tag>Ver15</b:Tag>
    <b:SourceType>JournalArticle</b:SourceType>
    <b:Guid>{174995B4-9BBD-4747-972B-AA34F96923FA}</b:Guid>
    <b:Title>Factores explicativos de la deserción de estudiantes de pedagogía </b:Title>
    <b:JournalName>Revista Complutense de Educación </b:JournalName>
    <b:Year>2015</b:Year>
    <b:Author>
      <b:Author>
        <b:NameList>
          <b:Person>
            <b:Last>Vergara</b:Last>
            <b:First>J,</b:First>
          </b:Person>
          <b:Person>
            <b:Last>Boj del VaL</b:Last>
            <b:First>E,</b:First>
          </b:Person>
          <b:Person>
            <b:Last>Barriga</b:Last>
            <b:First>O,</b:First>
          </b:Person>
          <b:Person>
            <b:Last>Díaz</b:Last>
            <b:First>L</b:First>
          </b:Person>
        </b:NameList>
      </b:Author>
    </b:Author>
    <b:URL>  http://dx.doi.org/10.5209/rev_RCED.2017.v28.n2.50009 </b:URL>
    <b:DOI>ISSNe: 1988-2793 </b:DOI>
    <b:RefOrder>34</b:RefOrder>
  </b:Source>
  <b:Source>
    <b:Tag>Día09</b:Tag>
    <b:SourceType>JournalArticle</b:SourceType>
    <b:Guid>{B1ED8BBF-366D-45BF-B02F-A7D5EFF6E2CB}</b:Guid>
    <b:Title>Factores de Deserción Estudiantil en Ingeniería: Una Aplicación de Modelos de Duración</b:Title>
    <b:Year>2009</b:Year>
    <b:Pages>129-145 </b:Pages>
    <b:Author>
      <b:Author>
        <b:NameList>
          <b:Person>
            <b:Last>Díaz</b:Last>
            <b:First>C</b:First>
          </b:Person>
        </b:NameList>
      </b:Author>
      <b:Editor>
        <b:NameList>
          <b:Person>
            <b:Last>Concepción</b:Last>
            <b:First>Universidad</b:First>
            <b:Middle>Católica de la Santísima</b:Middle>
          </b:Person>
        </b:NameList>
      </b:Editor>
    </b:Author>
    <b:Volume>Vol. 20(5)</b:Volume>
    <b:DOI>doi:10.1612/inf.tecnol.4095it.08 </b:DOI>
    <b:RefOrder>19</b:RefOrder>
  </b:Source>
  <b:Source>
    <b:Tag>Don07</b:Tag>
    <b:SourceType>JournalArticle</b:SourceType>
    <b:Guid>{60AFC51B-8B5C-4C36-97DB-1369CA9D45DF}</b:Guid>
    <b:Author>
      <b:Author>
        <b:NameList>
          <b:Person>
            <b:Last>Donoso</b:Last>
            <b:First>S</b:First>
          </b:Person>
          <b:Person>
            <b:Last>Schiefelbein</b:Last>
            <b:First>E</b:First>
          </b:Person>
        </b:NameList>
      </b:Author>
    </b:Author>
    <b:Title>ANALISIS DE LOS MODELOS EXPLICATIVOS DE RETENCION DE ESTUDIANTES EN LA UNIVERSIDAD: UNA VISION DESDE LA DESIGUALDAD SOCIAL</b:Title>
    <b:Year>2007</b:Year>
    <b:URL>Este artículo es parte del proyecto Fondecyt 1051015.</b:URL>
    <b:DOI>Estudios Pedagógicos XXXIII, Nº 1: 7-27</b:DOI>
    <b:RefOrder>20</b:RefOrder>
  </b:Source>
  <b:Source>
    <b:Tag>Cho17</b:Tag>
    <b:SourceType>JournalArticle</b:SourceType>
    <b:Guid>{6B6AB240-524B-490B-9205-7AFD973E4A12}</b:Guid>
    <b:Title>Factores que inciden en el rendimiento académico de los estudiantes de la Universidad Politécnica del Valle de Toluca</b:Title>
    <b:JournalName>CEE</b:JournalName>
    <b:Year>2017</b:Year>
    <b:Pages>91-108</b:Pages>
    <b:Author>
      <b:Author>
        <b:NameList>
          <b:Person>
            <b:Last>Chong González</b:Last>
            <b:First>Elizabeth</b:First>
            <b:Middle>Guadalupe</b:Middle>
          </b:Person>
        </b:NameList>
      </b:Author>
    </b:Author>
    <b:City>Distrito Federal, México</b:City>
    <b:DOI>ISSN: 0185-1284</b:DOI>
    <b:RefOrder>7</b:RefOrder>
  </b:Source>
  <b:Source>
    <b:Tag>Pas</b:Tag>
    <b:SourceType>JournalArticle</b:SourceType>
    <b:Guid>{E78716AB-8966-4937-AB4C-D183C1E822E5}</b:Guid>
    <b:Title>LA DESERCIÓN Y LA REPITENCIA EN LAS INSTITUCIONES DE EDUCACIÓN SUPERIOR: ALGUNAS EXPERIENCIAS INVESTIGATICION  EN EL ECUADOR</b:Title>
    <b:Author>
      <b:Author>
        <b:NameList>
          <b:Person>
            <b:Last>Passailaigue</b:Last>
            <b:First>R</b:First>
          </b:Person>
          <b:Person>
            <b:Last>Olbeida</b:Last>
            <b:First>O</b:First>
          </b:Person>
          <b:Person>
            <b:Last>Galarza</b:Last>
            <b:First>C</b:First>
          </b:Person>
        </b:NameList>
      </b:Author>
    </b:Author>
    <b:JournalName> Revista Científica de la Universidad de Cienfuegos</b:JournalName>
    <b:Year>2014</b:Year>
    <b:Pages>102-107</b:Pages>
    <b:URL> http://rus.ucf.edu.cu/</b:URL>
    <b:DOI>ISSN: 2238 3620</b:DOI>
    <b:RefOrder>17</b:RefOrder>
  </b:Source>
  <b:Source>
    <b:Tag>Lat17</b:Tag>
    <b:SourceType>JournalArticle</b:SourceType>
    <b:Guid>{CC31BEFB-E030-4DF7-903E-6C8C18DF6C6B}</b:Guid>
    <b:Title>Deserción y retención en las unidades académicas de educación superior. Una aproximación a las causas, instrumentos y estrategias que contribuyen a conocer y morigerar su impacto</b:Title>
    <b:Year>2017</b:Year>
    <b:Author>
      <b:Author>
        <b:NameList>
          <b:Person>
            <b:Last>Lattuada</b:Last>
            <b:First>M</b:First>
          </b:Person>
        </b:NameList>
      </b:Author>
    </b:Author>
    <b:DOI>ISSN (en línea) 2314 - 1530 ISSN (impreso) 2314-2138 / I</b:DOI>
    <b:RefOrder>23</b:RefOrder>
  </b:Source>
  <b:Source>
    <b:Tag>Flo17</b:Tag>
    <b:SourceType>JournalArticle</b:SourceType>
    <b:Guid>{542D0A0E-7E35-444A-A8E8-43408B3BE4A7}</b:Guid>
    <b:Title>La Universidad Latinoamericana y el Ranking de calidad a  nivel mundial </b:Title>
    <b:Year>2017</b:Year>
    <b:Pages>329-344</b:Pages>
    <b:Author>
      <b:Author>
        <b:NameList>
          <b:Person>
            <b:Last>Flor</b:Last>
            <b:First>X</b:First>
          </b:Person>
        </b:NameList>
      </b:Author>
    </b:Author>
    <b:Issue>No 10. (1)</b:Issue>
    <b:DOI> ISSN 1390-9304329 </b:DOI>
    <b:RefOrder>12</b:RefOrder>
  </b:Source>
  <b:Source>
    <b:Tag>Cas08</b:Tag>
    <b:SourceType>JournalArticle</b:SourceType>
    <b:Guid>{0627EA70-58C9-45A4-9769-29D08EACC3A9}</b:Guid>
    <b:Title> de deserción en la Universidad Estatal a Distancia de Costa Rica</b:Title>
    <b:JournalName>Revista Electrónica "Actualidades Investigativas en Educación</b:JournalName>
    <b:Year>2008</b:Year>
    <b:Pages>1-32</b:Pages>
    <b:Author>
      <b:Author>
        <b:NameList>
          <b:Person>
            <b:Last>Castillo Sánchez</b:Last>
            <b:First>Mario</b:First>
          </b:Person>
        </b:NameList>
      </b:Author>
    </b:Author>
    <b:DOI>E-ISSN: 1409-4703</b:DOI>
    <b:RefOrder>6</b:RefOrder>
  </b:Source>
  <b:Source>
    <b:Tag>Agu17</b:Tag>
    <b:SourceType>Report</b:SourceType>
    <b:Guid>{EB4CAC31-DABB-4FB7-A224-F454241781F4}</b:Guid>
    <b:Author>
      <b:Author>
        <b:NameList>
          <b:Person>
            <b:Last>Aguilar Santamaría</b:Last>
            <b:First>G.</b:First>
          </b:Person>
        </b:NameList>
      </b:Author>
    </b:Author>
    <b:Title>Desarrollo de una propuesta pedagógica para apoyar el proceso de inducción a estudiantes de la Escuela de Ciencias de la Comunicación Colectiva</b:Title>
    <b:Year>2017</b:Year>
    <b:URL>https://core.ac.uk/download/pdf/84689457.pdf</b:URL>
    <b:Institution>Universidad de Costa Rica.</b:Institution>
    <b:RefOrder>26</b:RefOrder>
  </b:Source>
  <b:Source>
    <b:Tag>Val171</b:Tag>
    <b:SourceType>Report</b:SourceType>
    <b:Guid>{A4F9C092-526E-4BD8-BDAD-A845F4EC5954}</b:Guid>
    <b:Author>
      <b:Author>
        <b:NameList>
          <b:Person>
            <b:Last>Valdebenito</b:Last>
            <b:First>A.</b:First>
            <b:Middle>B., Villablanca, F. M., Salgado, M. T. C., Candia, J. E., Vega, M. A., &amp; Mora, F.</b:Middle>
          </b:Person>
        </b:NameList>
      </b:Author>
    </b:Author>
    <b:Title>PROCESO DE INDUCCIÓN A ESTUDIANTES QUE INGRESARON VÍA CUPO PACE A LA UNIVERSIDAD DE CONCEPCIÓN</b:Title>
    <b:Year>2017</b:Year>
    <b:Publisher>Cuadernos de inclusion</b:Publisher>
    <b:URL>https://paiep.usach.cl/sites/paiep/files/documentos/cuadernos_de_inclusion1.pdf#page=7</b:URL>
    <b:RefOrder>27</b:RefOrder>
  </b:Source>
  <b:Source>
    <b:Tag>Ara18</b:Tag>
    <b:SourceType>JournalArticle</b:SourceType>
    <b:Guid>{2310E227-77B8-4C32-860D-9B3CA169BFD4}</b:Guid>
    <b:Author>
      <b:Author>
        <b:NameList>
          <b:Person>
            <b:Last>Aravena Vega</b:Last>
            <b:First>M.,</b:First>
            <b:Middle>Espinoza Candia, J., Novoa Mora, F., Borzone Valdebenito, M., &amp; Moraga Villablanca, F</b:Middle>
          </b:Person>
        </b:NameList>
      </b:Author>
    </b:Author>
    <b:Title>Proceso De Inducción Universitaria Para Estudiantes En Contexto De Vulnerabilidad.</b:Title>
    <b:Year>2018</b:Year>
    <b:Pages>646-652</b:Pages>
    <b:URL>https://core.ac.uk/download/pdf/234021036.pdf</b:URL>
    <b:JournalName>IIIV CABLES</b:JournalName>
    <b:RefOrder>28</b:RefOrder>
  </b:Source>
  <b:Source>
    <b:Tag>Mon141</b:Tag>
    <b:SourceType>JournalArticle</b:SourceType>
    <b:Guid>{20364C4A-C6B4-4C59-94FD-9700849FB8EF}</b:Guid>
    <b:Author>
      <b:Author>
        <b:NameList>
          <b:Person>
            <b:Last>Moncada</b:Last>
            <b:First>L.</b:First>
          </b:Person>
        </b:NameList>
      </b:Author>
    </b:Author>
    <b:Title>La integración académica de los estudiantes universitarios como factor determinante del abandono de corto plazo. Un análisis en el sistema de educación superior a distancia del Ecuador</b:Title>
    <b:JournalName>Redalyc</b:JournalName>
    <b:Year>2014</b:Year>
    <b:Pages>173-196</b:Pages>
    <b:City>Loja</b:City>
    <b:URL>https://www.redalyc.org/pdf/3314/331431248009.pdf</b:URL>
    <b:DOI>I.S.S.N.: 1138-2783</b:DOI>
    <b:RefOrder>29</b:RefOrder>
  </b:Source>
  <b:Source>
    <b:Tag>Ram16</b:Tag>
    <b:SourceType>JournalArticle</b:SourceType>
    <b:Guid>{45ECBB09-1B0B-470D-9342-6A549E1B17BF}</b:Guid>
    <b:Author>
      <b:Author>
        <b:NameList>
          <b:Person>
            <b:Last>Ramírez-Villamil</b:Last>
            <b:First>C.</b:First>
            <b:Middle>O., &amp; Puerta-Meza, K. L</b:Middle>
          </b:Person>
        </b:NameList>
      </b:Author>
    </b:Author>
    <b:Title>Identificación de factores motivantes de compra en tiendas universitarias: El caso de la Universidad Nacional de Colombia–Sede Medellí</b:Title>
    <b:JournalName>Revista CEA</b:JournalName>
    <b:Year>2016</b:Year>
    <b:Pages>89-99</b:Pages>
    <b:Volume>2</b:Volume>
    <b:Issue>4</b:Issue>
    <b:URL>https://poseidon01.ssrn.com/delivery.php?ID=https://papers.ssrn.com/sol3/papers.cfm?abstract_id=3519578</b:URL>
    <b:DOI> ISSN 2390-0725</b:DOI>
    <b:RefOrder>30</b:RefOrder>
  </b:Source>
  <b:Source>
    <b:Tag>Sán12</b:Tag>
    <b:SourceType>JournalArticle</b:SourceType>
    <b:Guid>{8A50D5C2-D48B-45AE-9AA5-132013309F16}</b:Guid>
    <b:Author>
      <b:Author>
        <b:NameList>
          <b:Person>
            <b:Last>Sánchez</b:Last>
            <b:First>M.</b:First>
            <b:Middle>D. P. M.</b:Middle>
          </b:Person>
        </b:NameList>
      </b:Author>
    </b:Author>
    <b:Title>Deserción universitaria en estudiantes de una universidad privada de Iquitos.</b:Title>
    <b:JournalName>Revista Digital de Investigación en Docencia Universitaria</b:JournalName>
    <b:Year>2012</b:Year>
    <b:Pages>60-83</b:Pages>
    <b:DOI>DOI: https://doi.org/10.19083/ridu.6.42</b:DOI>
    <b:RefOrder>31</b:RefOrder>
  </b:Source>
  <b:Source>
    <b:Tag>Ver</b:Tag>
    <b:SourceType>JournalArticle</b:SourceType>
    <b:Guid>{0D5AA839-A02C-47FE-B929-DC320F19FE85}</b:Guid>
    <b:Title>LA   DESERCIÓN   ESTUDIANTIL   DE   LA ESPOL: EL CASO   DEL  INSTITUTO  DE  TECNOLOGÍAS</b:Title>
    <b:Author>
      <b:Author>
        <b:NameList>
          <b:Person>
            <b:Last>Vera</b:Last>
            <b:First>k</b:First>
          </b:Person>
          <b:Person>
            <b:Last>Zurit</b:Last>
            <b:First>G</b:First>
          </b:Person>
        </b:NameList>
      </b:Author>
    </b:Author>
    <b:City>2005</b:City>
    <b:URL>http://www.dspace.espol.edu.ec/xmlui/handle/123456789/25313</b:URL>
    <b:JournalName>SPOL</b:JournalName>
    <b:Year>2009</b:Year>
    <b:RefOrder>33</b:RefOrder>
  </b:Source>
  <b:Source>
    <b:Tag>Tor181</b:Tag>
    <b:SourceType>JournalArticle</b:SourceType>
    <b:Guid>{495F1CF1-9C25-4153-ADE8-99DD9A5B5136}</b:Guid>
    <b:Author>
      <b:Author>
        <b:NameList>
          <b:Person>
            <b:Last>Torres</b:Last>
            <b:First>G.</b:First>
          </b:Person>
        </b:NameList>
      </b:Author>
    </b:Author>
    <b:Title>Análisis de la deserción estudiantil en las universidades del Ecuador y América Latina.</b:Title>
    <b:JournalName> Revista Pertinencia Académica</b:JournalName>
    <b:Year>2018</b:Year>
    <b:Pages>168-1699</b:Pages>
    <b:Volume>91</b:Volume>
    <b:Issue>15</b:Issue>
    <b:DOI>https://doi.org/10.1017/CBO9781107415324.004</b:DOI>
    <b:RefOrder>8</b:RefOrder>
  </b:Source>
  <b:Source>
    <b:Tag>Vit111</b:Tag>
    <b:SourceType>JournalArticle</b:SourceType>
    <b:Guid>{7B60F297-7E11-406C-8548-3B9613B4353E}</b:Guid>
    <b:Author>
      <b:Author>
        <b:NameList>
          <b:Person>
            <b:Last>Viteri</b:Last>
            <b:First>D.,</b:First>
            <b:Middle>&amp; Uquillas, M.</b:Middle>
          </b:Person>
        </b:NameList>
      </b:Author>
    </b:Author>
    <b:Title>Estudio sobre la deserción estudiantil en la Potificia Universidad Católica del Ecuador - Matriz, en los niveles 1ro, 2do y 3ero todas las Facultades y Escuelas del primer semestre del año académico 2007-2008 ., </b:Title>
    <b:Year>2011</b:Year>
    <b:Pages>1-16</b:Pages>
    <b:RefOrder>10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A845AE-F77C-4DC7-B608-7EBAE7E37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1</Pages>
  <Words>17175</Words>
  <Characters>94464</Characters>
  <Application>Microsoft Office Word</Application>
  <DocSecurity>0</DocSecurity>
  <Lines>787</Lines>
  <Paragraphs>222</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111417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DELL</cp:lastModifiedBy>
  <cp:revision>72</cp:revision>
  <cp:lastPrinted>2020-01-30T03:33:00Z</cp:lastPrinted>
  <dcterms:created xsi:type="dcterms:W3CDTF">2019-06-20T02:40:00Z</dcterms:created>
  <dcterms:modified xsi:type="dcterms:W3CDTF">2021-06-28T03:41:00Z</dcterms:modified>
</cp:coreProperties>
</file>