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22952" w14:textId="77777777" w:rsidR="00632A6A" w:rsidRDefault="004553F6">
      <w:pPr>
        <w:pBdr>
          <w:top w:val="nil"/>
          <w:left w:val="nil"/>
          <w:bottom w:val="nil"/>
          <w:right w:val="nil"/>
          <w:between w:val="nil"/>
        </w:pBdr>
        <w:spacing w:after="160" w:line="276" w:lineRule="auto"/>
        <w:jc w:val="center"/>
        <w:rPr>
          <w:color w:val="FF0000"/>
          <w:sz w:val="34"/>
          <w:szCs w:val="34"/>
        </w:rPr>
      </w:pPr>
      <w:r>
        <w:rPr>
          <w:color w:val="000000"/>
          <w:sz w:val="34"/>
          <w:szCs w:val="34"/>
        </w:rPr>
        <w:t>La relación que existe entre el crecimiento de MYPES con la recaudación tributaria para la provincia de Lima del periodo 2012 - 2019</w:t>
      </w:r>
    </w:p>
    <w:p w14:paraId="5137FAFE" w14:textId="77777777" w:rsidR="00632A6A" w:rsidRPr="007112E7" w:rsidRDefault="004553F6">
      <w:pPr>
        <w:pBdr>
          <w:top w:val="nil"/>
          <w:left w:val="nil"/>
          <w:bottom w:val="nil"/>
          <w:right w:val="nil"/>
          <w:between w:val="nil"/>
        </w:pBdr>
        <w:spacing w:after="160" w:line="276" w:lineRule="auto"/>
        <w:jc w:val="center"/>
        <w:rPr>
          <w:color w:val="A6A6A6"/>
          <w:sz w:val="34"/>
          <w:szCs w:val="34"/>
          <w:lang w:val="en-US"/>
        </w:rPr>
      </w:pPr>
      <w:r w:rsidRPr="007112E7">
        <w:rPr>
          <w:color w:val="A6A6A6"/>
          <w:sz w:val="34"/>
          <w:szCs w:val="34"/>
          <w:lang w:val="en-US"/>
        </w:rPr>
        <w:t>The relationship that exists between the growth of MYPES with tax collection for the province of Lima, from the period 2012 - 2019</w:t>
      </w:r>
    </w:p>
    <w:p w14:paraId="6BA4C8B3" w14:textId="77777777" w:rsidR="00632A6A" w:rsidRDefault="004553F6">
      <w:pPr>
        <w:pBdr>
          <w:top w:val="nil"/>
          <w:left w:val="nil"/>
          <w:bottom w:val="nil"/>
          <w:right w:val="nil"/>
          <w:between w:val="nil"/>
        </w:pBdr>
        <w:spacing w:after="160" w:line="300" w:lineRule="auto"/>
        <w:jc w:val="center"/>
        <w:rPr>
          <w:color w:val="000000"/>
          <w:sz w:val="26"/>
          <w:szCs w:val="26"/>
          <w:vertAlign w:val="superscript"/>
        </w:rPr>
      </w:pPr>
      <w:r>
        <w:rPr>
          <w:color w:val="000000"/>
          <w:sz w:val="26"/>
          <w:szCs w:val="26"/>
        </w:rPr>
        <w:t>Percy Rubén Quispe Choque</w:t>
      </w:r>
      <w:r>
        <w:rPr>
          <w:color w:val="000000"/>
          <w:sz w:val="26"/>
          <w:szCs w:val="26"/>
          <w:vertAlign w:val="superscript"/>
        </w:rPr>
        <w:t>1</w:t>
      </w:r>
      <w:r>
        <w:rPr>
          <w:color w:val="000000"/>
          <w:sz w:val="26"/>
          <w:szCs w:val="26"/>
        </w:rPr>
        <w:t>, Lily Dianelys Acuña Diaz</w:t>
      </w:r>
      <w:r>
        <w:rPr>
          <w:color w:val="000000"/>
          <w:sz w:val="26"/>
          <w:szCs w:val="26"/>
          <w:vertAlign w:val="superscript"/>
        </w:rPr>
        <w:t>1</w:t>
      </w:r>
    </w:p>
    <w:p w14:paraId="2BB4607B" w14:textId="77777777" w:rsidR="00632A6A" w:rsidRDefault="004553F6">
      <w:pPr>
        <w:tabs>
          <w:tab w:val="left" w:pos="1701"/>
        </w:tabs>
        <w:spacing w:line="276" w:lineRule="auto"/>
        <w:jc w:val="center"/>
        <w:rPr>
          <w:i/>
        </w:rPr>
      </w:pPr>
      <w:r>
        <w:rPr>
          <w:i/>
          <w:vertAlign w:val="superscript"/>
        </w:rPr>
        <w:t>1</w:t>
      </w:r>
      <w:r>
        <w:rPr>
          <w:i/>
        </w:rPr>
        <w:t>Escuela Profesional de Contabilidad, Facultad de Ciencias Empresariales, Universidad Peruana Unión, Perú</w:t>
      </w:r>
    </w:p>
    <w:p w14:paraId="41E6266D" w14:textId="77777777" w:rsidR="00632A6A" w:rsidRDefault="00632A6A">
      <w:pPr>
        <w:tabs>
          <w:tab w:val="left" w:pos="1701"/>
        </w:tabs>
        <w:spacing w:line="276" w:lineRule="auto"/>
        <w:jc w:val="center"/>
      </w:pPr>
    </w:p>
    <w:p w14:paraId="355CF1F9" w14:textId="77777777" w:rsidR="00632A6A" w:rsidRDefault="004553F6">
      <w:pPr>
        <w:pBdr>
          <w:top w:val="single" w:sz="4" w:space="10" w:color="000000"/>
          <w:left w:val="nil"/>
          <w:bottom w:val="nil"/>
          <w:right w:val="nil"/>
          <w:between w:val="nil"/>
        </w:pBdr>
        <w:spacing w:after="220" w:line="220" w:lineRule="auto"/>
        <w:rPr>
          <w:b/>
          <w:color w:val="000000"/>
          <w:sz w:val="24"/>
          <w:szCs w:val="24"/>
        </w:rPr>
      </w:pPr>
      <w:bookmarkStart w:id="0" w:name="_gjdgxs" w:colFirst="0" w:colLast="0"/>
      <w:bookmarkEnd w:id="0"/>
      <w:r>
        <w:rPr>
          <w:b/>
          <w:color w:val="000000"/>
          <w:sz w:val="24"/>
          <w:szCs w:val="24"/>
        </w:rPr>
        <w:t>Resumen</w:t>
      </w:r>
    </w:p>
    <w:p w14:paraId="49BBB725" w14:textId="77777777" w:rsidR="00632A6A" w:rsidRDefault="004553F6">
      <w:pPr>
        <w:jc w:val="both"/>
        <w:rPr>
          <w:sz w:val="22"/>
          <w:szCs w:val="22"/>
        </w:rPr>
      </w:pPr>
      <w:r>
        <w:rPr>
          <w:sz w:val="22"/>
          <w:szCs w:val="22"/>
        </w:rPr>
        <w:t>El objetivo de la presente investigación fue determinar la relación que existe entre el crecimiento de microempresas y la recaudación tributaria para la provincia de Lima, del periodo 2012 – 2019. El diseño de la investigación fue no experimental de tipo correlacional positiva. El universo estuvo constituido por las MYPES de los distritos que conforman Lima Metropolitana. Los datos sobre la estructura empresarial de Lima fueron recolectados del INEI y el compendio estadístico de la memoria del BCRP, en relación a las variables de estudio, para esto, se utilizó data oficial del Ministerio de la Producción, SUNAT entre otros. Los resultados del análisis indican la existencia de una alta relación significativa entre el crecimiento de las MYPES y la recaudación tributaria, demostrado mediante el coeficiente de correlación de Pearson con un valor de 0.93 lo cual indica que a mayor cantidad de MYPES hay mayor recaudación tributaria. Además, se concluye que el aumento de la informalidad presente en las MYPES afecta negativamente la recaudación tributaria (r = -0.69) y que el nivel de educación superior afecta positivamente a la recaudación tributaria (r =0.63).</w:t>
      </w:r>
    </w:p>
    <w:p w14:paraId="416DF08A" w14:textId="77777777" w:rsidR="00632A6A" w:rsidRDefault="00632A6A"/>
    <w:p w14:paraId="31B1BFC4" w14:textId="77777777" w:rsidR="00632A6A" w:rsidRDefault="004553F6">
      <w:pPr>
        <w:pBdr>
          <w:top w:val="nil"/>
          <w:left w:val="nil"/>
          <w:bottom w:val="single" w:sz="4" w:space="1" w:color="000000"/>
          <w:right w:val="nil"/>
          <w:between w:val="nil"/>
        </w:pBdr>
        <w:rPr>
          <w:color w:val="000000"/>
          <w:sz w:val="16"/>
          <w:szCs w:val="16"/>
        </w:rPr>
      </w:pPr>
      <w:r>
        <w:rPr>
          <w:i/>
          <w:color w:val="000000"/>
          <w:sz w:val="16"/>
          <w:szCs w:val="16"/>
        </w:rPr>
        <w:t>Palabras clave: MYPES; informalidad; educación; conciencia tributaria; recaudación tributaria</w:t>
      </w:r>
    </w:p>
    <w:p w14:paraId="0B168FAF" w14:textId="77777777" w:rsidR="00632A6A" w:rsidRDefault="00632A6A">
      <w:pPr>
        <w:pBdr>
          <w:top w:val="nil"/>
          <w:left w:val="nil"/>
          <w:bottom w:val="nil"/>
          <w:right w:val="nil"/>
          <w:between w:val="nil"/>
        </w:pBdr>
        <w:jc w:val="both"/>
        <w:rPr>
          <w:color w:val="000000"/>
        </w:rPr>
      </w:pPr>
    </w:p>
    <w:p w14:paraId="7B92D901" w14:textId="77777777" w:rsidR="00632A6A" w:rsidRPr="007112E7" w:rsidRDefault="004553F6">
      <w:pPr>
        <w:pBdr>
          <w:top w:val="nil"/>
          <w:left w:val="nil"/>
          <w:bottom w:val="nil"/>
          <w:right w:val="nil"/>
          <w:between w:val="nil"/>
        </w:pBdr>
        <w:jc w:val="both"/>
        <w:rPr>
          <w:b/>
          <w:color w:val="000000"/>
          <w:sz w:val="24"/>
          <w:szCs w:val="24"/>
          <w:lang w:val="en-US"/>
        </w:rPr>
      </w:pPr>
      <w:bookmarkStart w:id="1" w:name="_30j0zll" w:colFirst="0" w:colLast="0"/>
      <w:bookmarkEnd w:id="1"/>
      <w:r w:rsidRPr="007112E7">
        <w:rPr>
          <w:b/>
          <w:color w:val="000000"/>
          <w:sz w:val="24"/>
          <w:szCs w:val="24"/>
          <w:lang w:val="en-US"/>
        </w:rPr>
        <w:t>Abstract</w:t>
      </w:r>
    </w:p>
    <w:p w14:paraId="4B9BF08D" w14:textId="77777777" w:rsidR="00632A6A" w:rsidRPr="007112E7" w:rsidRDefault="00632A6A">
      <w:pPr>
        <w:pBdr>
          <w:top w:val="nil"/>
          <w:left w:val="nil"/>
          <w:bottom w:val="nil"/>
          <w:right w:val="nil"/>
          <w:between w:val="nil"/>
        </w:pBdr>
        <w:jc w:val="both"/>
        <w:rPr>
          <w:b/>
          <w:color w:val="000000"/>
          <w:sz w:val="24"/>
          <w:szCs w:val="24"/>
          <w:lang w:val="en-US"/>
        </w:rPr>
      </w:pPr>
    </w:p>
    <w:p w14:paraId="38682E5C" w14:textId="77777777" w:rsidR="00632A6A" w:rsidRPr="007112E7" w:rsidRDefault="004553F6">
      <w:pPr>
        <w:pBdr>
          <w:top w:val="nil"/>
          <w:left w:val="nil"/>
          <w:bottom w:val="nil"/>
          <w:right w:val="nil"/>
          <w:between w:val="nil"/>
        </w:pBdr>
        <w:jc w:val="both"/>
        <w:rPr>
          <w:color w:val="000000"/>
          <w:sz w:val="24"/>
          <w:szCs w:val="24"/>
          <w:lang w:val="en-US"/>
        </w:rPr>
      </w:pPr>
      <w:r w:rsidRPr="007112E7">
        <w:rPr>
          <w:color w:val="000000"/>
          <w:sz w:val="22"/>
          <w:szCs w:val="22"/>
          <w:lang w:val="en-US"/>
        </w:rPr>
        <w:t>The objective of the present investigation was to determine the relationship that exists between the growth of micro-enterprises and tax collection for the province of Lima, for the period 2012 - 2019. The design of the investigation was non-experimental of a positive correlational type. The universe was constituted by the MYPES of the districts that make up Metropolitan Lima. The data on the business structure of Lima were collected from the INEI and the statistical compendium of the BCRP report, in relation to the study variables, for this, official data from the Ministry of Production, SUNAT, among others, was used. The results of the analysis indicate the existence of a high significant relationship between the growth of the MYPES and tax collection, demonstrated by the Pearson correlation coefficient with a value of 0.93, which indicates that the greater the number of MYPES, the higher the tax collection. In addition, it is concluded that the increase in informality present in MYPES negatively affects tax collection (r = -0.69) and that the level of higher education positively affects tax collection (r = 0.63).</w:t>
      </w:r>
    </w:p>
    <w:p w14:paraId="0FC750CC" w14:textId="77777777" w:rsidR="00632A6A" w:rsidRPr="007112E7" w:rsidRDefault="004553F6">
      <w:pPr>
        <w:pBdr>
          <w:top w:val="nil"/>
          <w:left w:val="nil"/>
          <w:bottom w:val="single" w:sz="4" w:space="0" w:color="000000"/>
          <w:right w:val="nil"/>
          <w:between w:val="nil"/>
        </w:pBdr>
        <w:tabs>
          <w:tab w:val="left" w:pos="2835"/>
        </w:tabs>
        <w:rPr>
          <w:i/>
          <w:color w:val="000000"/>
          <w:sz w:val="16"/>
          <w:szCs w:val="16"/>
          <w:lang w:val="en-US"/>
        </w:rPr>
      </w:pPr>
      <w:r w:rsidRPr="007112E7">
        <w:rPr>
          <w:i/>
          <w:color w:val="000000"/>
          <w:sz w:val="16"/>
          <w:szCs w:val="16"/>
          <w:lang w:val="en-US"/>
        </w:rPr>
        <w:t>Keywords: MYPES; informality; education; tax awareness; tax collection</w:t>
      </w:r>
    </w:p>
    <w:p w14:paraId="6C735FA0" w14:textId="77777777" w:rsidR="00632A6A" w:rsidRDefault="004553F6">
      <w:pPr>
        <w:numPr>
          <w:ilvl w:val="0"/>
          <w:numId w:val="1"/>
        </w:numPr>
        <w:pBdr>
          <w:top w:val="nil"/>
          <w:left w:val="nil"/>
          <w:bottom w:val="nil"/>
          <w:right w:val="nil"/>
          <w:between w:val="nil"/>
        </w:pBdr>
        <w:spacing w:line="360" w:lineRule="auto"/>
        <w:jc w:val="both"/>
        <w:rPr>
          <w:color w:val="000000"/>
          <w:sz w:val="24"/>
          <w:szCs w:val="24"/>
        </w:rPr>
      </w:pPr>
      <w:r w:rsidRPr="007112E7">
        <w:rPr>
          <w:lang w:val="en-US"/>
        </w:rPr>
        <w:br w:type="page"/>
      </w:r>
      <w:r>
        <w:rPr>
          <w:b/>
          <w:color w:val="000000"/>
          <w:sz w:val="24"/>
          <w:szCs w:val="24"/>
        </w:rPr>
        <w:lastRenderedPageBreak/>
        <w:t>Introducción</w:t>
      </w:r>
    </w:p>
    <w:p w14:paraId="21285BD6"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 xml:space="preserve">Las micro y pequeñas empresas del Perú son una parte muy importante de nuestro motor económico, según las estadísticas de 2019 que maneja ENAHO, el 95% de las empresas del país son MYPES, lo que equivale a poco más de 6 millones de empresas que representan casi el 20% del PIB. No cabe duda de que las MYPES cubre varios aspectos importantes de nuestra economía, el más importante de los cuales es su contribución a la creación de empleo, aunque muchas veces es cierto que no crean empleo en condiciones suficientes para la realización personal, contribuye de forma creciente en aliviar el alto índice de desempleo que sufre nuestro país. </w:t>
      </w:r>
    </w:p>
    <w:p w14:paraId="2457EB00"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 xml:space="preserve">Cabe mencionar que el objetivo del Estado es incentivar a las personas u organizaciones que operan de manera informal a formalizarse para que puedan obtener los beneficios de operar dentro de un marco regulatorio. Por ello, el análisis de los resultados de esta investigación nos llevará a identificar si las acciones planteadas por el gobierno han tenido efecto y si han logrado su objetivo, ya que podríamos sugerir nuevas estrategias o procedimientos para plantear mejoras en cuanto a los beneficios ofrecidos a las microempresas. </w:t>
      </w:r>
    </w:p>
    <w:p w14:paraId="5BDF12B3"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 xml:space="preserve">Mendieta (2015), afirmó que “A lo largo de las dos últimas décadas, el país ha sido testigo de un crecimiento acelerado del número de micro y pequeñas empresas conducidas por un nuevo tipo de empresarios emergentes que a su suerte son una fuente de empleo y mano de obra para miles de personas”. </w:t>
      </w:r>
    </w:p>
    <w:p w14:paraId="17DD439B"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La importancia de la misma se puede ver desde diferentes ángulos. En primer lugar, es una de las principales fuentes de empleo, por lo que resulta interesante como herramienta para promover el empleo porque solo requiere una inversión inicial y permite el ingreso a la clase de bajos ingresos. En segundo lugar, al resolver algunos de los cuellos de botella en la producción, puede convertirse en el principal apoyo de las grandes empresas. Esto crea sus propias oportunidades laborales para los desempleados que carecen de recursos económicos, y también contribuye a la producción de grandes empresas.</w:t>
      </w:r>
    </w:p>
    <w:p w14:paraId="1E775E56"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 xml:space="preserve">De acuerdo al análisis de la estructura empresarial de Lima Metropolitana se tuvieron registradas 101 mil unidades manufactureras que representaron el 9,2% del total de empresas de Lima Metropolitana y el 53,6% de las empresas manufactureras a nivel nacional. Si bien el objetivo principal de la SUNAT es brindar los recursos necesarios para la sostenibilidad fiscal y la estabilidad macroeconómica, y recaudar los ingresos necesarios para financiar el gasto público. </w:t>
      </w:r>
      <w:r>
        <w:rPr>
          <w:color w:val="000000"/>
          <w:sz w:val="24"/>
          <w:szCs w:val="24"/>
        </w:rPr>
        <w:lastRenderedPageBreak/>
        <w:t xml:space="preserve">Para cumplir con esta misión, las autoridades tributarias deben alcanzar los objetivos de recaudación establecidos por el gobierno central y enfrentar problemas estructurales informales. </w:t>
      </w:r>
    </w:p>
    <w:p w14:paraId="646AD897"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Por ello, el desarrollo de este artículo es importante porque identificaremos las principales desventajas que no permiten el desarrollo de los micro y pequeños empresarios peruanos y que, por tanto, dificultan su crecimiento. Empresas son importantes y se complica a medida que crece.</w:t>
      </w:r>
    </w:p>
    <w:p w14:paraId="72040067" w14:textId="77777777" w:rsidR="00632A6A" w:rsidRDefault="004553F6">
      <w:pPr>
        <w:pBdr>
          <w:top w:val="nil"/>
          <w:left w:val="nil"/>
          <w:bottom w:val="nil"/>
          <w:right w:val="nil"/>
          <w:between w:val="nil"/>
        </w:pBdr>
        <w:spacing w:line="360" w:lineRule="auto"/>
        <w:ind w:firstLine="360"/>
        <w:jc w:val="both"/>
        <w:rPr>
          <w:color w:val="000000"/>
          <w:sz w:val="24"/>
          <w:szCs w:val="24"/>
        </w:rPr>
      </w:pPr>
      <w:bookmarkStart w:id="2" w:name="_Hlk112102348"/>
      <w:r>
        <w:rPr>
          <w:color w:val="000000"/>
          <w:sz w:val="24"/>
          <w:szCs w:val="24"/>
        </w:rPr>
        <w:t>El objetivo general de la presente investigación es determinar la relación que existe entre el crecimiento de MYPES y la recaudación tributaria para la provincia de Lima en el sector Manufactura, del periodo 2012 – 2019. El primer objetivo específico es determinar si tiene relación la Informalidad Laboral con la recaudación tributaria para la provincia de Lima en el sector Manufactura, del periodo 2012 – 2019. El segundo objetivo específico es determinar si tiene relación la Educación superior con la recaudación tributaria para la provincia de Lima en el sector Manufactura, del periodo 2012 – 2019.</w:t>
      </w:r>
    </w:p>
    <w:bookmarkEnd w:id="2"/>
    <w:p w14:paraId="1E9070AC" w14:textId="77777777" w:rsidR="00632A6A" w:rsidRDefault="004553F6">
      <w:pPr>
        <w:pBdr>
          <w:top w:val="nil"/>
          <w:left w:val="nil"/>
          <w:bottom w:val="nil"/>
          <w:right w:val="nil"/>
          <w:between w:val="nil"/>
        </w:pBdr>
        <w:spacing w:after="240" w:line="360" w:lineRule="auto"/>
        <w:ind w:firstLine="360"/>
        <w:jc w:val="both"/>
        <w:rPr>
          <w:color w:val="000000"/>
          <w:sz w:val="24"/>
          <w:szCs w:val="24"/>
        </w:rPr>
      </w:pPr>
      <w:r>
        <w:rPr>
          <w:color w:val="000000"/>
          <w:sz w:val="24"/>
          <w:szCs w:val="24"/>
        </w:rPr>
        <w:t>La hipótesis general que se plantea para el desarrollo del presente trabajo es: El crecimiento de las MYPES tiene relación significativa con la recaudación tributaria para la provincia de Lima en el sector Manufactura, del periodo 2012 – 2019. Las dos hipótesis específicas que se plantean son: La primera es que la Informalidad Laboral tienen relación significativa con la recaudación tributaria para la provincia de Lima en el Manufactura, del periodo 2012 – 2019. La segunda es que la Educación Superior tienen relación significativa con la recaudación tributaria para la provincia de Lima en el Manufactura, del periodo 2012 – 2019.</w:t>
      </w:r>
    </w:p>
    <w:p w14:paraId="263F36B3" w14:textId="77777777" w:rsidR="00632A6A" w:rsidRDefault="004553F6">
      <w:pPr>
        <w:numPr>
          <w:ilvl w:val="0"/>
          <w:numId w:val="1"/>
        </w:numPr>
        <w:pBdr>
          <w:top w:val="nil"/>
          <w:left w:val="nil"/>
          <w:bottom w:val="nil"/>
          <w:right w:val="nil"/>
          <w:between w:val="nil"/>
        </w:pBdr>
        <w:spacing w:line="360" w:lineRule="auto"/>
        <w:jc w:val="both"/>
        <w:rPr>
          <w:color w:val="000000"/>
          <w:sz w:val="24"/>
          <w:szCs w:val="24"/>
        </w:rPr>
      </w:pPr>
      <w:r>
        <w:rPr>
          <w:b/>
          <w:color w:val="000000"/>
          <w:sz w:val="24"/>
          <w:szCs w:val="24"/>
        </w:rPr>
        <w:t>Revisión teórica</w:t>
      </w:r>
    </w:p>
    <w:p w14:paraId="62223E0D" w14:textId="77777777" w:rsidR="00632A6A" w:rsidRDefault="004553F6">
      <w:pPr>
        <w:pBdr>
          <w:top w:val="nil"/>
          <w:left w:val="nil"/>
          <w:bottom w:val="nil"/>
          <w:right w:val="nil"/>
          <w:between w:val="nil"/>
        </w:pBdr>
        <w:spacing w:line="360" w:lineRule="auto"/>
        <w:ind w:firstLine="357"/>
        <w:jc w:val="both"/>
        <w:rPr>
          <w:b/>
          <w:color w:val="000000"/>
          <w:sz w:val="24"/>
          <w:szCs w:val="24"/>
        </w:rPr>
      </w:pPr>
      <w:r>
        <w:rPr>
          <w:b/>
          <w:color w:val="000000"/>
          <w:sz w:val="24"/>
          <w:szCs w:val="24"/>
        </w:rPr>
        <w:t xml:space="preserve">2.1 Crecimiento de MYPES </w:t>
      </w:r>
    </w:p>
    <w:p w14:paraId="56B36E6F"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Delgado (2015) preciso que, “las micro y pequeñas empresas informales son unidades que generan competencia ilegal a las formales ya que estos no tienen obligaciones tributarias legales” (p. 8).</w:t>
      </w:r>
    </w:p>
    <w:p w14:paraId="3CA07FE0"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 Por lo que es fundamental que las MYPE debieran formalizarse, no solo porque generan competencia leal, sino además por los beneficios que generan el proceso de formalización tales como capacidad de asociatividad, acceso al sector financiero (capacidad crediticia), participación en contrataciones públicas de entidades del Estado, capacidad de exportación e importación, incremento del nivel de competitividad, y protección y servicios que el Estado puede ofrecer a las empresas formalizadas.</w:t>
      </w:r>
    </w:p>
    <w:p w14:paraId="74568F43"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lastRenderedPageBreak/>
        <w:t>Por lo tanto, la formalización se refiere a los procedimientos diseñados para mejorar las contingencias que enfrentan las MYPE haciendo de estas unidades productivas registradas en la administración tributaria, con personería jurídica, sistema de contabilidad; además, en el campo labora garantiza a sus gestores, conductores y trabajadores accesos a un seguro de salud, una jubilación justa, gratificaciones y contrato laboral formalizados (Lahura, 2016)  Esta definición será la que se utiliza en la presente investigación.</w:t>
      </w:r>
    </w:p>
    <w:p w14:paraId="37C2E3D8" w14:textId="77777777" w:rsidR="00632A6A" w:rsidRDefault="004553F6">
      <w:pPr>
        <w:pBdr>
          <w:top w:val="nil"/>
          <w:left w:val="nil"/>
          <w:bottom w:val="nil"/>
          <w:right w:val="nil"/>
          <w:between w:val="nil"/>
        </w:pBdr>
        <w:spacing w:line="360" w:lineRule="auto"/>
        <w:ind w:firstLine="357"/>
        <w:jc w:val="both"/>
        <w:rPr>
          <w:b/>
          <w:color w:val="000000"/>
          <w:sz w:val="24"/>
          <w:szCs w:val="24"/>
        </w:rPr>
      </w:pPr>
      <w:r>
        <w:rPr>
          <w:b/>
          <w:color w:val="000000"/>
          <w:sz w:val="24"/>
          <w:szCs w:val="24"/>
        </w:rPr>
        <w:t xml:space="preserve">2.1.1 Las micros y pequeñas empresas (MYPES) </w:t>
      </w:r>
    </w:p>
    <w:p w14:paraId="4AAB9B87"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(Enriquez, 2011) Consideran que las MYPES son aquellas unidades económicas que ejecutan actividades de producción, extracción o brindan servicios bajo cualquiera de las formas de organización empresarial. Estas unidades económicas para ser considerados como tal deben reclutar las siguientes características concurrentes: </w:t>
      </w:r>
    </w:p>
    <w:p w14:paraId="347A5D84"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 Microempresa: los trabajadores en este rubro deben de ser de uno (1) a diez (10) y las ventas anuales tiene que ser un máximo de 150 Unidades Impositivas Tributarias (UIT). </w:t>
      </w:r>
    </w:p>
    <w:p w14:paraId="556251C4"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Pequeña empresa: los trabajadores en este rubro consideran de uno (1) hasta cien (100) y las ventas anuales tiene que ser un máximo de 1700 Unidades Impositivas Tributaria (UIT). De acuerdo a la ley de desarrollo constitucional de las micro y pequeñas empresas (MYPE) son los mecanismos de desarrollo económicos constituidas por personas naturales o jurídicas, bajo cualquier régimen de organización observada en la legislación vigente, que busca ampliar actividades de extracción, transformación, producción, comercialización de bienes o prestación de servicios.</w:t>
      </w:r>
    </w:p>
    <w:p w14:paraId="37E7AA9D" w14:textId="77777777" w:rsidR="00632A6A" w:rsidRDefault="004553F6">
      <w:pPr>
        <w:pBdr>
          <w:top w:val="nil"/>
          <w:left w:val="nil"/>
          <w:bottom w:val="nil"/>
          <w:right w:val="nil"/>
          <w:between w:val="nil"/>
        </w:pBdr>
        <w:spacing w:line="360" w:lineRule="auto"/>
        <w:ind w:firstLine="357"/>
        <w:jc w:val="both"/>
        <w:rPr>
          <w:b/>
          <w:color w:val="000000"/>
          <w:sz w:val="24"/>
          <w:szCs w:val="24"/>
        </w:rPr>
      </w:pPr>
      <w:r>
        <w:rPr>
          <w:b/>
          <w:color w:val="000000"/>
          <w:sz w:val="24"/>
          <w:szCs w:val="24"/>
        </w:rPr>
        <w:t xml:space="preserve">2.2 Recaudación tributaria </w:t>
      </w:r>
    </w:p>
    <w:p w14:paraId="4D891DC7"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Alegría (2017) refiere que, los ingresos tributarios del estado son mínimos, y se está transformando en un dilema mayor. Actualmente la recaudación tributaria se encuentra en un nivel descendente, a pesar de que el estado busca mejorar la economía, pero requerirán más de un recurso para mejorarlo.</w:t>
      </w:r>
    </w:p>
    <w:p w14:paraId="204845D8"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Afirma la jefa de la SUNAT, que, durante los siguientes años, la recaudación tributaria tendrá una inclinación positivista, dejando atrás la conducta negativa de las recaudaciones de años anteriores (Suárez, 2018).</w:t>
      </w:r>
    </w:p>
    <w:p w14:paraId="0FAC2E30"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Aráoz (2017) afirma que el estado peruano desea aumentar la recaudación tributaria utilizando las facultades legislativas del estado pedidas por el congreso, preparando una reorganización por parte de la SUNAT. </w:t>
      </w:r>
    </w:p>
    <w:p w14:paraId="5B749C30"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lastRenderedPageBreak/>
        <w:t>Según Shiguiyama (2018), jefe de la SUNAT, nos dice que, para una mejor recaudación tributaria, debe contar con tres factores; primero: una recuperación económica, segundo: los cambios que la SUNAT van a realizar y tercero: evitar una menor comparación de la recaudación del año 2017.</w:t>
      </w:r>
    </w:p>
    <w:p w14:paraId="2398B27C"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Según La República (2018), la SUNAT alcanzó en el mes de noviembre S/ 8.607 millones de soles, logrando un porcentaje de 8,1%, equivaliendo a S/ 811 millones de soles a diferencia del noviembre del año pasado. También informó que en 14 meses se acumuló un incremento consecutivo, registrado en la recaudación tributaria un periodo del 2013 al 2014. Según el Diario la República (2019) la recaudación tributaria en la región central recaudó S/ 2.175,4 millones de soles en el 2018, equivale a 13,5% según el Centro de Investigación Empresarial (CIE) de Perú cámaras y las cifras de la SUNAT.</w:t>
      </w:r>
    </w:p>
    <w:p w14:paraId="3403F8BE" w14:textId="77777777" w:rsidR="00632A6A" w:rsidRDefault="004553F6">
      <w:pPr>
        <w:pBdr>
          <w:top w:val="nil"/>
          <w:left w:val="nil"/>
          <w:bottom w:val="nil"/>
          <w:right w:val="nil"/>
          <w:between w:val="nil"/>
        </w:pBdr>
        <w:spacing w:line="360" w:lineRule="auto"/>
        <w:ind w:firstLine="426"/>
        <w:jc w:val="both"/>
        <w:rPr>
          <w:b/>
          <w:color w:val="000000"/>
          <w:sz w:val="24"/>
          <w:szCs w:val="24"/>
        </w:rPr>
      </w:pPr>
      <w:r>
        <w:rPr>
          <w:b/>
          <w:color w:val="000000"/>
          <w:sz w:val="24"/>
          <w:szCs w:val="24"/>
        </w:rPr>
        <w:t>2.3 Teoría Económica de la Formalidad</w:t>
      </w:r>
    </w:p>
    <w:p w14:paraId="176A659F"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Según la Comisión Económica para Nicolo (2017), menciona que la finalidad de mantenerse en la  formalidad es poder competir, y sobresalir en el mercado, la cual debe cumplir siempre con las reglas y condiciones que el mismo mercado impone para toda organización y acorde con las políticas determinadas por los Estados en cuanto a reglas tributarias económicas, comerciales y hasta tecnológicas; ello a fin de que las empresas puedan competir en determinado mercado al mismo nivel que otras organizaciones, y poder obtener la confianza de otros agentes intervinientes que  puedan aportar al desarrollo del negocio, y constituirse en parte de una cultura empresarial de avanzada que se requiere en cualquier país (p. 18).</w:t>
      </w:r>
    </w:p>
    <w:p w14:paraId="67C93B02" w14:textId="77777777" w:rsidR="00632A6A" w:rsidRDefault="004553F6">
      <w:pPr>
        <w:pBdr>
          <w:top w:val="nil"/>
          <w:left w:val="nil"/>
          <w:bottom w:val="nil"/>
          <w:right w:val="nil"/>
          <w:between w:val="nil"/>
        </w:pBdr>
        <w:spacing w:line="360" w:lineRule="auto"/>
        <w:ind w:firstLine="426"/>
        <w:jc w:val="both"/>
        <w:rPr>
          <w:b/>
          <w:color w:val="000000"/>
          <w:sz w:val="24"/>
          <w:szCs w:val="24"/>
        </w:rPr>
      </w:pPr>
      <w:r>
        <w:rPr>
          <w:b/>
          <w:color w:val="000000"/>
          <w:sz w:val="24"/>
          <w:szCs w:val="24"/>
        </w:rPr>
        <w:t>2.4 Teoría de la Estructura Organizacional</w:t>
      </w:r>
    </w:p>
    <w:p w14:paraId="2DE9A90C"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 xml:space="preserve">El grado de formalización de una organización se manifiesta, entre otras, según el experto colombiano en Administración de Empresas y Negocios (Sánchez, 2007), “en la elaboración por escrito de todas las actividades que se desarrollan en la dinámica empresarial; así como la comunicación en una estructura organizacional en que se tienda a formalizar en la medida que la empresa crece planificadamente (p. 36)”. Razón por la cual son importantes los diferentes manuales que estas empresas elaboran y que se vuelven más complejos a la par de sus crecimientos. Como sostiene dicho autor, en ocasiones se toman decisiones o se gestan procesos que no son comunicados a todas las agencias, se toman las decisiones cuando no hay nada que hacer, no asegurándose el fluido y procesamiento de información que se requiere para la adopción de la toma de decisiones esperadas. La informalidad en la comunicación se manifestó en la </w:t>
      </w:r>
      <w:r>
        <w:rPr>
          <w:color w:val="000000"/>
          <w:sz w:val="24"/>
          <w:szCs w:val="24"/>
        </w:rPr>
        <w:lastRenderedPageBreak/>
        <w:t>transmisión de ideas oralmente. Un problema específico que afectaba a cualquier gerente o director de departamento con su instancia pertinente era resuelto en una reunión informal. La organización en general es toda informal, aquí lo formal es que todo es informal; la comunicación, en la mayoría de los casos es extremadamente informal. Sin duda la Cooperativa Financiera Avancemos era una organización en la cual la informalidad hizo parte de su cotidianidad. La comunicación formal entre las distintas áreas o departamentos fue escasa.</w:t>
      </w:r>
    </w:p>
    <w:p w14:paraId="78070BB8" w14:textId="77777777" w:rsidR="00632A6A" w:rsidRDefault="004553F6">
      <w:pPr>
        <w:pBdr>
          <w:top w:val="nil"/>
          <w:left w:val="nil"/>
          <w:bottom w:val="nil"/>
          <w:right w:val="nil"/>
          <w:between w:val="nil"/>
        </w:pBdr>
        <w:spacing w:line="360" w:lineRule="auto"/>
        <w:ind w:firstLine="426"/>
        <w:jc w:val="both"/>
        <w:rPr>
          <w:b/>
          <w:color w:val="000000"/>
          <w:sz w:val="24"/>
          <w:szCs w:val="24"/>
        </w:rPr>
      </w:pPr>
      <w:r>
        <w:rPr>
          <w:b/>
          <w:color w:val="000000"/>
          <w:sz w:val="24"/>
          <w:szCs w:val="24"/>
        </w:rPr>
        <w:t xml:space="preserve">2.5 Recaudación tributaria del Régimen MYPE y NRUS </w:t>
      </w:r>
    </w:p>
    <w:p w14:paraId="4159944B"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 xml:space="preserve">De acuerdo con el Banco Central de Reserva del Perú (2020) los ingresos tributarios del Perú correspondieron el 19,7 por ciento de su PBI en 2019. Esto, debido a los altos niveles de informalidad que se encuentran en la región, que constituye una de las razones por las que los niveles impositivos en Perú son tan bajos. De acuerdo con el Reporte de Ingresos recaudados por SUNAT del año 2019, el Régimen MYPE tuvo una recaudación de S/1,408 millones. De otro lado, durante el mismo periodo se recaudó S/134,5 millones a través del NRUS. </w:t>
      </w:r>
    </w:p>
    <w:p w14:paraId="249AE43A"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 xml:space="preserve">El Instituto Peruano de Economía (2019) ha señalado que, según la SUNAT, en el año 2018, los contribuyentes que se registraron en el RUS se incrementaron en un 8,5%. En relación con el RER, la cantidad de contribuyentes aumento en un 10,1%. Por otro lado, un importante número de contribuyentes que previamente tributaban en el Régimen General pasaron a pagar impuestos en el Nuevo régimen RMT a partir del año 2017, lo cual implico una reducción entre el número de contribuyentes del régimen RG. </w:t>
      </w:r>
    </w:p>
    <w:p w14:paraId="65325CE2"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 xml:space="preserve">De esta manera, en el año 2018, se recaudó un promedio de S/ 184 soles en el régimen RMT por contribuyente. Sin embargo, resulta preocupante la recaudación promedio del RUS, ya que fue de S/9 soles por contribuyente. Esto demuestra una tendencia negativa que se viene siguiendo desde el año 2010, lo cual revela su poca efectividad. </w:t>
      </w:r>
    </w:p>
    <w:p w14:paraId="582245CF"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Según el informe anual de la SUNAT (2018), la recaudación por IGV registró un ascenso del 9,6% cuando la economía interna había aumentado en un 4,0%. Esto se vio favorecido por las nuevas acciones de cobranza y control que ha venido implementando la Administración Tributaria.</w:t>
      </w:r>
    </w:p>
    <w:p w14:paraId="35DCEBC5" w14:textId="77777777" w:rsidR="00632A6A" w:rsidRDefault="004553F6">
      <w:pPr>
        <w:pBdr>
          <w:top w:val="nil"/>
          <w:left w:val="nil"/>
          <w:bottom w:val="nil"/>
          <w:right w:val="nil"/>
          <w:between w:val="nil"/>
        </w:pBdr>
        <w:spacing w:line="360" w:lineRule="auto"/>
        <w:ind w:firstLine="426"/>
        <w:jc w:val="both"/>
        <w:rPr>
          <w:color w:val="000000"/>
          <w:sz w:val="24"/>
          <w:szCs w:val="24"/>
        </w:rPr>
      </w:pPr>
      <w:r>
        <w:rPr>
          <w:color w:val="000000"/>
          <w:sz w:val="24"/>
          <w:szCs w:val="24"/>
        </w:rPr>
        <w:t>Por otro lado, el Plan Estratégico Nacional de Turismo – PENTUR 2025, aprobado mediante Resolución Ministerial N.º 231-2016-MINCETUR, propone fomentar la formalización en estrecha coordinación con el sector privado, tomando en consideración que el sector informal genera un factor externo negativo que se agrega a su efecto adverso sobre la eficiencia en la prestación de los servicios turísticos. (Comercio exterior y turismo. Normas Legales, 2017)</w:t>
      </w:r>
    </w:p>
    <w:p w14:paraId="774DA8AC" w14:textId="77777777" w:rsidR="00632A6A" w:rsidRDefault="004553F6">
      <w:pPr>
        <w:numPr>
          <w:ilvl w:val="0"/>
          <w:numId w:val="1"/>
        </w:numPr>
        <w:pBdr>
          <w:top w:val="nil"/>
          <w:left w:val="nil"/>
          <w:bottom w:val="nil"/>
          <w:right w:val="nil"/>
          <w:between w:val="nil"/>
        </w:pBdr>
        <w:spacing w:line="360" w:lineRule="auto"/>
        <w:jc w:val="both"/>
        <w:rPr>
          <w:color w:val="000000"/>
          <w:sz w:val="24"/>
          <w:szCs w:val="24"/>
        </w:rPr>
      </w:pPr>
      <w:r>
        <w:rPr>
          <w:b/>
          <w:color w:val="000000"/>
          <w:sz w:val="24"/>
          <w:szCs w:val="24"/>
        </w:rPr>
        <w:lastRenderedPageBreak/>
        <w:t>Metodología</w:t>
      </w:r>
    </w:p>
    <w:p w14:paraId="407CE23E" w14:textId="40360BEB" w:rsidR="007112E7" w:rsidRDefault="004553F6" w:rsidP="007112E7">
      <w:pPr>
        <w:pBdr>
          <w:top w:val="nil"/>
          <w:left w:val="nil"/>
          <w:bottom w:val="nil"/>
          <w:right w:val="nil"/>
          <w:between w:val="nil"/>
        </w:pBdr>
        <w:spacing w:line="360" w:lineRule="auto"/>
        <w:ind w:firstLine="357"/>
        <w:jc w:val="both"/>
        <w:rPr>
          <w:color w:val="000000"/>
          <w:sz w:val="24"/>
          <w:szCs w:val="24"/>
        </w:rPr>
      </w:pPr>
      <w:r>
        <w:rPr>
          <w:color w:val="000000"/>
          <w:sz w:val="24"/>
          <w:szCs w:val="24"/>
        </w:rPr>
        <w:t>La presente investigación fue del tipo aplicada, con un diseño no experimental, método hipotético - deductivo y de nivel correlacional-explicativo</w:t>
      </w:r>
      <w:r w:rsidR="007112E7">
        <w:rPr>
          <w:color w:val="000000"/>
          <w:sz w:val="24"/>
          <w:szCs w:val="24"/>
        </w:rPr>
        <w:t>.</w:t>
      </w:r>
      <w:r>
        <w:rPr>
          <w:color w:val="000000"/>
          <w:sz w:val="24"/>
          <w:szCs w:val="24"/>
        </w:rPr>
        <w:t xml:space="preserve"> La población estuvo constituida por las MYPES de los distritos que conforman Lima Metropolitana, que ha tenido el mayor crecimiento de empresas formales, en los años 2012 – 2019.</w:t>
      </w:r>
      <w:r w:rsidR="007112E7">
        <w:rPr>
          <w:color w:val="000000"/>
          <w:sz w:val="24"/>
          <w:szCs w:val="24"/>
        </w:rPr>
        <w:t xml:space="preserve"> Similar metodología se aplicó </w:t>
      </w:r>
      <w:r w:rsidR="00440F7D">
        <w:rPr>
          <w:color w:val="000000"/>
          <w:sz w:val="24"/>
          <w:szCs w:val="24"/>
        </w:rPr>
        <w:t>en la</w:t>
      </w:r>
      <w:r w:rsidR="007112E7">
        <w:rPr>
          <w:color w:val="000000"/>
          <w:sz w:val="24"/>
          <w:szCs w:val="24"/>
        </w:rPr>
        <w:t xml:space="preserve"> investigación de Chaquila, Flores y Vallejos (2021), y en la investigación de </w:t>
      </w:r>
      <w:r w:rsidR="00440F7D">
        <w:rPr>
          <w:color w:val="000000"/>
          <w:sz w:val="24"/>
          <w:szCs w:val="24"/>
        </w:rPr>
        <w:t>Hidalgo y Areche (2022)</w:t>
      </w:r>
    </w:p>
    <w:p w14:paraId="1345E03E"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Los datos sobre el universo de las MYPES y la estructura empresarial de Lima fueron recolectados del INEI, según el informe de Estructura Empresarial de Lima Metropolitana, que indica la existencia de 104194, al 2019 y el compendio estadístico de la memoria del BCRP. Además, se utilizaron datos oficiales del Ministerio de la Producción, SUNAT, entre otros, para el periodo 2012 - 2019.</w:t>
      </w:r>
    </w:p>
    <w:p w14:paraId="7AB858E7" w14:textId="1592C633"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El procesamiento de la información y análisis estadístico fue a través del software IBM Excel y RStudio. Se realizó el análisis descriptivo para estudiar la evolución de la </w:t>
      </w:r>
      <w:r w:rsidR="00502C77">
        <w:rPr>
          <w:color w:val="000000"/>
          <w:sz w:val="24"/>
          <w:szCs w:val="24"/>
        </w:rPr>
        <w:t>relación</w:t>
      </w:r>
      <w:r>
        <w:rPr>
          <w:color w:val="000000"/>
          <w:sz w:val="24"/>
          <w:szCs w:val="24"/>
        </w:rPr>
        <w:t xml:space="preserve"> del crecimiento de las MYPES en la recaudación tributaria y el análisis de pruebas estadísticas paramétricas (Coeficiente de correlación de Pearson) para establecer y calcular la relación entre las dos variables de interés.</w:t>
      </w:r>
    </w:p>
    <w:p w14:paraId="0D378078"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25483A76" w14:textId="77777777" w:rsidR="00632A6A" w:rsidRDefault="004553F6">
      <w:pPr>
        <w:numPr>
          <w:ilvl w:val="0"/>
          <w:numId w:val="1"/>
        </w:numPr>
        <w:pBdr>
          <w:top w:val="nil"/>
          <w:left w:val="nil"/>
          <w:bottom w:val="nil"/>
          <w:right w:val="nil"/>
          <w:between w:val="nil"/>
        </w:pBdr>
        <w:spacing w:line="360" w:lineRule="auto"/>
        <w:jc w:val="both"/>
        <w:rPr>
          <w:color w:val="000000"/>
          <w:sz w:val="24"/>
          <w:szCs w:val="24"/>
        </w:rPr>
      </w:pPr>
      <w:r>
        <w:rPr>
          <w:b/>
          <w:color w:val="000000"/>
          <w:sz w:val="24"/>
          <w:szCs w:val="24"/>
        </w:rPr>
        <w:t>Resultados</w:t>
      </w:r>
    </w:p>
    <w:p w14:paraId="5EF7838D"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587EAB63"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En la Tabla 1, se observa la estimación del total de MYPES en Lima para el periodo 2012 – 2019 y en la Tabla 2 se presenta el resultado de la evolución del total de MYPES formales e informales durante el periodo de estudio, evidenciando el aumento constante que experimenta su número. Además, el porcentaje de las MYPES formales en relación con el total estimado de MYPES durante el periodo de estudio también registró un incremento constante y sostenido, pasando de 67.7% en el año 2012 al 88% en el año 2019. Asimismo, el porcentaje de MYPES informales se redujo de 32.28% al 12.02% entre los años 2012 y 2019. Sin embargo, a pesar de este importante avance, no están inscritas en SUNAT. De modo que para seguir avanzando se debe tener en cuenta que la informalidad es un fenómeno heterogéneo pues tiene características particulares que varían entre sectores económicos.</w:t>
      </w:r>
    </w:p>
    <w:p w14:paraId="0E81D5C7"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25F2DA7B"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70B47A72"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56CA587B" w14:textId="49563218"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De acuerdo con la información obtenida del Ministerio </w:t>
      </w:r>
      <w:r w:rsidR="006B41A0">
        <w:rPr>
          <w:color w:val="000000"/>
          <w:sz w:val="24"/>
          <w:szCs w:val="24"/>
        </w:rPr>
        <w:t>de la Producción sobre las MYPES</w:t>
      </w:r>
      <w:r>
        <w:rPr>
          <w:color w:val="000000"/>
          <w:sz w:val="24"/>
          <w:szCs w:val="24"/>
        </w:rPr>
        <w:t xml:space="preserve"> durante los años 2012-2019, y el Registro único de Contribuyentes 2012-2019, proporcionado por la SUNAT, se estimaron las siguientes tablas.</w:t>
      </w:r>
    </w:p>
    <w:p w14:paraId="2BB14445"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4A94DFE3" w14:textId="556EBE69" w:rsidR="00632A6A" w:rsidRDefault="004553F6">
      <w:pPr>
        <w:keepNext/>
        <w:spacing w:before="240" w:line="360" w:lineRule="auto"/>
        <w:rPr>
          <w:i/>
          <w:sz w:val="24"/>
          <w:szCs w:val="24"/>
        </w:rPr>
      </w:pPr>
      <w:r>
        <w:rPr>
          <w:sz w:val="24"/>
          <w:szCs w:val="24"/>
        </w:rPr>
        <w:t>Tabla 1</w:t>
      </w:r>
      <w:r>
        <w:rPr>
          <w:b/>
          <w:i/>
          <w:sz w:val="24"/>
          <w:szCs w:val="24"/>
        </w:rPr>
        <w:t xml:space="preserve"> </w:t>
      </w:r>
      <w:r w:rsidR="006B41A0">
        <w:rPr>
          <w:i/>
          <w:sz w:val="24"/>
          <w:szCs w:val="24"/>
        </w:rPr>
        <w:br/>
        <w:t>Estimación del total de MYPES</w:t>
      </w:r>
      <w:r>
        <w:rPr>
          <w:i/>
          <w:sz w:val="24"/>
          <w:szCs w:val="24"/>
        </w:rPr>
        <w:t xml:space="preserve"> en Lima 2012-2019</w:t>
      </w:r>
    </w:p>
    <w:tbl>
      <w:tblPr>
        <w:tblStyle w:val="a"/>
        <w:tblW w:w="9354" w:type="dxa"/>
        <w:tblInd w:w="0" w:type="dxa"/>
        <w:tblLayout w:type="fixed"/>
        <w:tblLook w:val="0400" w:firstRow="0" w:lastRow="0" w:firstColumn="0" w:lastColumn="0" w:noHBand="0" w:noVBand="1"/>
      </w:tblPr>
      <w:tblGrid>
        <w:gridCol w:w="1268"/>
        <w:gridCol w:w="1411"/>
        <w:gridCol w:w="950"/>
        <w:gridCol w:w="950"/>
        <w:gridCol w:w="950"/>
        <w:gridCol w:w="950"/>
        <w:gridCol w:w="950"/>
        <w:gridCol w:w="950"/>
        <w:gridCol w:w="975"/>
      </w:tblGrid>
      <w:tr w:rsidR="00632A6A" w14:paraId="40E9099B" w14:textId="77777777">
        <w:trPr>
          <w:trHeight w:val="222"/>
        </w:trPr>
        <w:tc>
          <w:tcPr>
            <w:tcW w:w="1268" w:type="dxa"/>
            <w:tcBorders>
              <w:top w:val="single" w:sz="4" w:space="0" w:color="000000"/>
              <w:left w:val="nil"/>
              <w:bottom w:val="nil"/>
              <w:right w:val="nil"/>
            </w:tcBorders>
            <w:shd w:val="clear" w:color="auto" w:fill="auto"/>
            <w:vAlign w:val="center"/>
          </w:tcPr>
          <w:p w14:paraId="4C5DD29E" w14:textId="77777777" w:rsidR="00632A6A" w:rsidRDefault="004553F6">
            <w:pPr>
              <w:jc w:val="center"/>
              <w:rPr>
                <w:sz w:val="24"/>
                <w:szCs w:val="24"/>
              </w:rPr>
            </w:pPr>
            <w:r>
              <w:rPr>
                <w:sz w:val="24"/>
                <w:szCs w:val="24"/>
              </w:rPr>
              <w:t>Año</w:t>
            </w:r>
          </w:p>
        </w:tc>
        <w:tc>
          <w:tcPr>
            <w:tcW w:w="1411" w:type="dxa"/>
            <w:tcBorders>
              <w:top w:val="single" w:sz="4" w:space="0" w:color="000000"/>
              <w:left w:val="nil"/>
              <w:bottom w:val="nil"/>
              <w:right w:val="nil"/>
            </w:tcBorders>
            <w:shd w:val="clear" w:color="auto" w:fill="auto"/>
            <w:vAlign w:val="bottom"/>
          </w:tcPr>
          <w:p w14:paraId="4665D85B" w14:textId="77777777" w:rsidR="00632A6A" w:rsidRDefault="004553F6">
            <w:pPr>
              <w:jc w:val="center"/>
              <w:rPr>
                <w:sz w:val="24"/>
                <w:szCs w:val="24"/>
              </w:rPr>
            </w:pPr>
            <w:r>
              <w:rPr>
                <w:sz w:val="24"/>
                <w:szCs w:val="24"/>
              </w:rPr>
              <w:t>2012</w:t>
            </w:r>
          </w:p>
        </w:tc>
        <w:tc>
          <w:tcPr>
            <w:tcW w:w="950" w:type="dxa"/>
            <w:tcBorders>
              <w:top w:val="single" w:sz="4" w:space="0" w:color="000000"/>
              <w:left w:val="nil"/>
              <w:bottom w:val="nil"/>
              <w:right w:val="nil"/>
            </w:tcBorders>
            <w:shd w:val="clear" w:color="auto" w:fill="auto"/>
            <w:vAlign w:val="bottom"/>
          </w:tcPr>
          <w:p w14:paraId="4C29F68C" w14:textId="77777777" w:rsidR="00632A6A" w:rsidRDefault="004553F6">
            <w:pPr>
              <w:jc w:val="center"/>
              <w:rPr>
                <w:sz w:val="24"/>
                <w:szCs w:val="24"/>
              </w:rPr>
            </w:pPr>
            <w:r>
              <w:rPr>
                <w:sz w:val="24"/>
                <w:szCs w:val="24"/>
              </w:rPr>
              <w:t>2013</w:t>
            </w:r>
          </w:p>
        </w:tc>
        <w:tc>
          <w:tcPr>
            <w:tcW w:w="950" w:type="dxa"/>
            <w:tcBorders>
              <w:top w:val="single" w:sz="4" w:space="0" w:color="000000"/>
              <w:left w:val="nil"/>
              <w:bottom w:val="nil"/>
              <w:right w:val="nil"/>
            </w:tcBorders>
            <w:shd w:val="clear" w:color="auto" w:fill="auto"/>
            <w:vAlign w:val="bottom"/>
          </w:tcPr>
          <w:p w14:paraId="00E42A63" w14:textId="77777777" w:rsidR="00632A6A" w:rsidRDefault="004553F6">
            <w:pPr>
              <w:jc w:val="center"/>
              <w:rPr>
                <w:sz w:val="24"/>
                <w:szCs w:val="24"/>
              </w:rPr>
            </w:pPr>
            <w:r>
              <w:rPr>
                <w:sz w:val="24"/>
                <w:szCs w:val="24"/>
              </w:rPr>
              <w:t>2014</w:t>
            </w:r>
          </w:p>
        </w:tc>
        <w:tc>
          <w:tcPr>
            <w:tcW w:w="950" w:type="dxa"/>
            <w:tcBorders>
              <w:top w:val="single" w:sz="4" w:space="0" w:color="000000"/>
              <w:left w:val="nil"/>
              <w:bottom w:val="nil"/>
              <w:right w:val="nil"/>
            </w:tcBorders>
            <w:shd w:val="clear" w:color="auto" w:fill="auto"/>
            <w:vAlign w:val="bottom"/>
          </w:tcPr>
          <w:p w14:paraId="4C3ABD0E" w14:textId="77777777" w:rsidR="00632A6A" w:rsidRDefault="004553F6">
            <w:pPr>
              <w:jc w:val="center"/>
              <w:rPr>
                <w:sz w:val="24"/>
                <w:szCs w:val="24"/>
              </w:rPr>
            </w:pPr>
            <w:r>
              <w:rPr>
                <w:sz w:val="24"/>
                <w:szCs w:val="24"/>
              </w:rPr>
              <w:t>2015</w:t>
            </w:r>
          </w:p>
        </w:tc>
        <w:tc>
          <w:tcPr>
            <w:tcW w:w="950" w:type="dxa"/>
            <w:tcBorders>
              <w:top w:val="single" w:sz="4" w:space="0" w:color="000000"/>
              <w:left w:val="nil"/>
              <w:bottom w:val="nil"/>
              <w:right w:val="nil"/>
            </w:tcBorders>
            <w:shd w:val="clear" w:color="auto" w:fill="auto"/>
            <w:vAlign w:val="bottom"/>
          </w:tcPr>
          <w:p w14:paraId="0473988F" w14:textId="77777777" w:rsidR="00632A6A" w:rsidRDefault="004553F6">
            <w:pPr>
              <w:jc w:val="center"/>
              <w:rPr>
                <w:sz w:val="24"/>
                <w:szCs w:val="24"/>
              </w:rPr>
            </w:pPr>
            <w:r>
              <w:rPr>
                <w:sz w:val="24"/>
                <w:szCs w:val="24"/>
              </w:rPr>
              <w:t>2016</w:t>
            </w:r>
          </w:p>
        </w:tc>
        <w:tc>
          <w:tcPr>
            <w:tcW w:w="950" w:type="dxa"/>
            <w:tcBorders>
              <w:top w:val="single" w:sz="4" w:space="0" w:color="000000"/>
              <w:left w:val="nil"/>
              <w:bottom w:val="nil"/>
              <w:right w:val="nil"/>
            </w:tcBorders>
            <w:shd w:val="clear" w:color="auto" w:fill="auto"/>
            <w:vAlign w:val="bottom"/>
          </w:tcPr>
          <w:p w14:paraId="61B0560D" w14:textId="77777777" w:rsidR="00632A6A" w:rsidRDefault="004553F6">
            <w:pPr>
              <w:jc w:val="center"/>
              <w:rPr>
                <w:sz w:val="24"/>
                <w:szCs w:val="24"/>
              </w:rPr>
            </w:pPr>
            <w:r>
              <w:rPr>
                <w:sz w:val="24"/>
                <w:szCs w:val="24"/>
              </w:rPr>
              <w:t>2017</w:t>
            </w:r>
          </w:p>
        </w:tc>
        <w:tc>
          <w:tcPr>
            <w:tcW w:w="950" w:type="dxa"/>
            <w:tcBorders>
              <w:top w:val="single" w:sz="4" w:space="0" w:color="000000"/>
              <w:left w:val="nil"/>
              <w:bottom w:val="nil"/>
              <w:right w:val="nil"/>
            </w:tcBorders>
            <w:shd w:val="clear" w:color="auto" w:fill="auto"/>
            <w:vAlign w:val="bottom"/>
          </w:tcPr>
          <w:p w14:paraId="44E22217" w14:textId="77777777" w:rsidR="00632A6A" w:rsidRDefault="004553F6">
            <w:pPr>
              <w:jc w:val="center"/>
              <w:rPr>
                <w:sz w:val="24"/>
                <w:szCs w:val="24"/>
              </w:rPr>
            </w:pPr>
            <w:r>
              <w:rPr>
                <w:sz w:val="24"/>
                <w:szCs w:val="24"/>
              </w:rPr>
              <w:t>2018</w:t>
            </w:r>
          </w:p>
        </w:tc>
        <w:tc>
          <w:tcPr>
            <w:tcW w:w="975" w:type="dxa"/>
            <w:tcBorders>
              <w:top w:val="single" w:sz="4" w:space="0" w:color="000000"/>
              <w:left w:val="nil"/>
              <w:bottom w:val="nil"/>
              <w:right w:val="nil"/>
            </w:tcBorders>
            <w:shd w:val="clear" w:color="auto" w:fill="auto"/>
            <w:vAlign w:val="bottom"/>
          </w:tcPr>
          <w:p w14:paraId="32429F61" w14:textId="77777777" w:rsidR="00632A6A" w:rsidRDefault="004553F6">
            <w:pPr>
              <w:jc w:val="center"/>
              <w:rPr>
                <w:sz w:val="24"/>
                <w:szCs w:val="24"/>
              </w:rPr>
            </w:pPr>
            <w:r>
              <w:rPr>
                <w:sz w:val="24"/>
                <w:szCs w:val="24"/>
              </w:rPr>
              <w:t>2019</w:t>
            </w:r>
          </w:p>
        </w:tc>
      </w:tr>
      <w:tr w:rsidR="00632A6A" w14:paraId="0313A6A8" w14:textId="77777777">
        <w:trPr>
          <w:trHeight w:val="904"/>
        </w:trPr>
        <w:tc>
          <w:tcPr>
            <w:tcW w:w="1268" w:type="dxa"/>
            <w:tcBorders>
              <w:top w:val="single" w:sz="4" w:space="0" w:color="000000"/>
              <w:left w:val="nil"/>
              <w:bottom w:val="single" w:sz="4" w:space="0" w:color="000000"/>
              <w:right w:val="nil"/>
            </w:tcBorders>
            <w:shd w:val="clear" w:color="auto" w:fill="auto"/>
            <w:vAlign w:val="center"/>
          </w:tcPr>
          <w:p w14:paraId="47225015" w14:textId="77777777" w:rsidR="00632A6A" w:rsidRDefault="004553F6">
            <w:pPr>
              <w:jc w:val="center"/>
              <w:rPr>
                <w:sz w:val="24"/>
                <w:szCs w:val="24"/>
              </w:rPr>
            </w:pPr>
            <w:r>
              <w:rPr>
                <w:sz w:val="24"/>
                <w:szCs w:val="24"/>
              </w:rPr>
              <w:t>MYPES Totales</w:t>
            </w:r>
          </w:p>
        </w:tc>
        <w:tc>
          <w:tcPr>
            <w:tcW w:w="1411" w:type="dxa"/>
            <w:tcBorders>
              <w:top w:val="single" w:sz="4" w:space="0" w:color="000000"/>
              <w:left w:val="nil"/>
              <w:bottom w:val="single" w:sz="4" w:space="0" w:color="000000"/>
              <w:right w:val="nil"/>
            </w:tcBorders>
            <w:shd w:val="clear" w:color="auto" w:fill="auto"/>
            <w:vAlign w:val="center"/>
          </w:tcPr>
          <w:p w14:paraId="0A670821" w14:textId="77777777" w:rsidR="00632A6A" w:rsidRDefault="004553F6">
            <w:pPr>
              <w:jc w:val="center"/>
              <w:rPr>
                <w:sz w:val="24"/>
                <w:szCs w:val="24"/>
              </w:rPr>
            </w:pPr>
            <w:r>
              <w:rPr>
                <w:sz w:val="24"/>
                <w:szCs w:val="24"/>
              </w:rPr>
              <w:t>78373</w:t>
            </w:r>
          </w:p>
        </w:tc>
        <w:tc>
          <w:tcPr>
            <w:tcW w:w="950" w:type="dxa"/>
            <w:tcBorders>
              <w:top w:val="single" w:sz="4" w:space="0" w:color="000000"/>
              <w:left w:val="nil"/>
              <w:bottom w:val="single" w:sz="4" w:space="0" w:color="000000"/>
              <w:right w:val="nil"/>
            </w:tcBorders>
            <w:shd w:val="clear" w:color="auto" w:fill="auto"/>
            <w:vAlign w:val="center"/>
          </w:tcPr>
          <w:p w14:paraId="2DAF8CF1" w14:textId="77777777" w:rsidR="00632A6A" w:rsidRDefault="004553F6">
            <w:pPr>
              <w:jc w:val="center"/>
              <w:rPr>
                <w:sz w:val="24"/>
                <w:szCs w:val="24"/>
              </w:rPr>
            </w:pPr>
            <w:r>
              <w:rPr>
                <w:sz w:val="24"/>
                <w:szCs w:val="24"/>
              </w:rPr>
              <w:t>80389</w:t>
            </w:r>
          </w:p>
        </w:tc>
        <w:tc>
          <w:tcPr>
            <w:tcW w:w="950" w:type="dxa"/>
            <w:tcBorders>
              <w:top w:val="single" w:sz="4" w:space="0" w:color="000000"/>
              <w:left w:val="nil"/>
              <w:bottom w:val="single" w:sz="4" w:space="0" w:color="000000"/>
              <w:right w:val="nil"/>
            </w:tcBorders>
            <w:shd w:val="clear" w:color="auto" w:fill="auto"/>
            <w:vAlign w:val="center"/>
          </w:tcPr>
          <w:p w14:paraId="42BEC0CF" w14:textId="77777777" w:rsidR="00632A6A" w:rsidRDefault="004553F6">
            <w:pPr>
              <w:jc w:val="center"/>
              <w:rPr>
                <w:sz w:val="24"/>
                <w:szCs w:val="24"/>
              </w:rPr>
            </w:pPr>
            <w:r>
              <w:rPr>
                <w:sz w:val="24"/>
                <w:szCs w:val="24"/>
              </w:rPr>
              <w:t>82438</w:t>
            </w:r>
          </w:p>
        </w:tc>
        <w:tc>
          <w:tcPr>
            <w:tcW w:w="950" w:type="dxa"/>
            <w:tcBorders>
              <w:top w:val="single" w:sz="4" w:space="0" w:color="000000"/>
              <w:left w:val="nil"/>
              <w:bottom w:val="single" w:sz="4" w:space="0" w:color="000000"/>
              <w:right w:val="nil"/>
            </w:tcBorders>
            <w:shd w:val="clear" w:color="auto" w:fill="auto"/>
            <w:vAlign w:val="center"/>
          </w:tcPr>
          <w:p w14:paraId="2AF79513" w14:textId="77777777" w:rsidR="00632A6A" w:rsidRDefault="004553F6">
            <w:pPr>
              <w:jc w:val="center"/>
              <w:rPr>
                <w:sz w:val="24"/>
                <w:szCs w:val="24"/>
              </w:rPr>
            </w:pPr>
            <w:r>
              <w:rPr>
                <w:sz w:val="24"/>
                <w:szCs w:val="24"/>
              </w:rPr>
              <w:t>84285</w:t>
            </w:r>
          </w:p>
        </w:tc>
        <w:tc>
          <w:tcPr>
            <w:tcW w:w="950" w:type="dxa"/>
            <w:tcBorders>
              <w:top w:val="single" w:sz="4" w:space="0" w:color="000000"/>
              <w:left w:val="nil"/>
              <w:bottom w:val="single" w:sz="4" w:space="0" w:color="000000"/>
              <w:right w:val="nil"/>
            </w:tcBorders>
            <w:shd w:val="clear" w:color="auto" w:fill="auto"/>
            <w:vAlign w:val="center"/>
          </w:tcPr>
          <w:p w14:paraId="771EC581" w14:textId="77777777" w:rsidR="00632A6A" w:rsidRDefault="004553F6">
            <w:pPr>
              <w:jc w:val="center"/>
              <w:rPr>
                <w:sz w:val="24"/>
                <w:szCs w:val="24"/>
              </w:rPr>
            </w:pPr>
            <w:r>
              <w:rPr>
                <w:sz w:val="24"/>
                <w:szCs w:val="24"/>
              </w:rPr>
              <w:t>87025</w:t>
            </w:r>
          </w:p>
        </w:tc>
        <w:tc>
          <w:tcPr>
            <w:tcW w:w="950" w:type="dxa"/>
            <w:tcBorders>
              <w:top w:val="single" w:sz="4" w:space="0" w:color="000000"/>
              <w:left w:val="nil"/>
              <w:bottom w:val="single" w:sz="4" w:space="0" w:color="000000"/>
              <w:right w:val="nil"/>
            </w:tcBorders>
            <w:shd w:val="clear" w:color="auto" w:fill="auto"/>
            <w:vAlign w:val="center"/>
          </w:tcPr>
          <w:p w14:paraId="728BCA44" w14:textId="77777777" w:rsidR="00632A6A" w:rsidRDefault="004553F6">
            <w:pPr>
              <w:jc w:val="center"/>
              <w:rPr>
                <w:sz w:val="24"/>
                <w:szCs w:val="24"/>
              </w:rPr>
            </w:pPr>
            <w:r>
              <w:rPr>
                <w:sz w:val="24"/>
                <w:szCs w:val="24"/>
              </w:rPr>
              <w:t>91533</w:t>
            </w:r>
          </w:p>
        </w:tc>
        <w:tc>
          <w:tcPr>
            <w:tcW w:w="950" w:type="dxa"/>
            <w:tcBorders>
              <w:top w:val="single" w:sz="4" w:space="0" w:color="000000"/>
              <w:left w:val="nil"/>
              <w:bottom w:val="single" w:sz="4" w:space="0" w:color="000000"/>
              <w:right w:val="nil"/>
            </w:tcBorders>
            <w:shd w:val="clear" w:color="auto" w:fill="auto"/>
            <w:vAlign w:val="center"/>
          </w:tcPr>
          <w:p w14:paraId="77DB7BD3" w14:textId="77777777" w:rsidR="00632A6A" w:rsidRDefault="004553F6">
            <w:pPr>
              <w:jc w:val="center"/>
              <w:rPr>
                <w:sz w:val="24"/>
                <w:szCs w:val="24"/>
              </w:rPr>
            </w:pPr>
            <w:r>
              <w:rPr>
                <w:sz w:val="24"/>
                <w:szCs w:val="24"/>
              </w:rPr>
              <w:t>93839</w:t>
            </w:r>
          </w:p>
        </w:tc>
        <w:tc>
          <w:tcPr>
            <w:tcW w:w="975" w:type="dxa"/>
            <w:tcBorders>
              <w:top w:val="single" w:sz="4" w:space="0" w:color="000000"/>
              <w:left w:val="nil"/>
              <w:bottom w:val="single" w:sz="4" w:space="0" w:color="000000"/>
              <w:right w:val="nil"/>
            </w:tcBorders>
            <w:shd w:val="clear" w:color="auto" w:fill="auto"/>
            <w:vAlign w:val="center"/>
          </w:tcPr>
          <w:p w14:paraId="3A2A47DC" w14:textId="77777777" w:rsidR="00632A6A" w:rsidRDefault="004553F6">
            <w:pPr>
              <w:jc w:val="center"/>
              <w:rPr>
                <w:sz w:val="24"/>
                <w:szCs w:val="24"/>
              </w:rPr>
            </w:pPr>
            <w:r>
              <w:rPr>
                <w:sz w:val="24"/>
                <w:szCs w:val="24"/>
              </w:rPr>
              <w:t>104194</w:t>
            </w:r>
          </w:p>
        </w:tc>
      </w:tr>
    </w:tbl>
    <w:p w14:paraId="23ED2571" w14:textId="77777777" w:rsidR="00632A6A" w:rsidRDefault="004553F6">
      <w:pPr>
        <w:spacing w:line="360" w:lineRule="auto"/>
        <w:jc w:val="both"/>
        <w:rPr>
          <w:color w:val="000000"/>
        </w:rPr>
      </w:pPr>
      <w:r>
        <w:rPr>
          <w:color w:val="000000"/>
        </w:rPr>
        <w:t xml:space="preserve">Fuente: Adaptado de Ministerio de la Producción (2019) </w:t>
      </w:r>
    </w:p>
    <w:p w14:paraId="5BC2328C"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441A152D" w14:textId="77777777" w:rsidR="00632A6A" w:rsidRDefault="004553F6">
      <w:pPr>
        <w:keepNext/>
        <w:spacing w:line="360" w:lineRule="auto"/>
        <w:rPr>
          <w:sz w:val="24"/>
          <w:szCs w:val="24"/>
        </w:rPr>
      </w:pPr>
      <w:r>
        <w:rPr>
          <w:sz w:val="24"/>
          <w:szCs w:val="24"/>
        </w:rPr>
        <w:t xml:space="preserve">Tabla 2 </w:t>
      </w:r>
    </w:p>
    <w:p w14:paraId="37AB43E7" w14:textId="1152E184" w:rsidR="00632A6A" w:rsidRDefault="006B41A0">
      <w:pPr>
        <w:keepNext/>
        <w:spacing w:line="360" w:lineRule="auto"/>
        <w:rPr>
          <w:i/>
          <w:sz w:val="24"/>
          <w:szCs w:val="24"/>
        </w:rPr>
      </w:pPr>
      <w:r>
        <w:rPr>
          <w:i/>
          <w:sz w:val="24"/>
          <w:szCs w:val="24"/>
        </w:rPr>
        <w:t>Estimación del total de MYPES</w:t>
      </w:r>
      <w:r w:rsidR="004553F6">
        <w:rPr>
          <w:i/>
          <w:sz w:val="24"/>
          <w:szCs w:val="24"/>
        </w:rPr>
        <w:t xml:space="preserve"> Periodo 2012-2019</w:t>
      </w:r>
    </w:p>
    <w:tbl>
      <w:tblPr>
        <w:tblStyle w:val="a0"/>
        <w:tblW w:w="9356" w:type="dxa"/>
        <w:tblInd w:w="0" w:type="dxa"/>
        <w:tblLayout w:type="fixed"/>
        <w:tblLook w:val="0400" w:firstRow="0" w:lastRow="0" w:firstColumn="0" w:lastColumn="0" w:noHBand="0" w:noVBand="1"/>
      </w:tblPr>
      <w:tblGrid>
        <w:gridCol w:w="993"/>
        <w:gridCol w:w="2835"/>
        <w:gridCol w:w="2976"/>
        <w:gridCol w:w="2552"/>
      </w:tblGrid>
      <w:tr w:rsidR="00632A6A" w14:paraId="249E8637" w14:textId="77777777">
        <w:trPr>
          <w:trHeight w:val="683"/>
        </w:trPr>
        <w:tc>
          <w:tcPr>
            <w:tcW w:w="993" w:type="dxa"/>
            <w:tcBorders>
              <w:top w:val="single" w:sz="4" w:space="0" w:color="000000"/>
              <w:bottom w:val="single" w:sz="4" w:space="0" w:color="000000"/>
            </w:tcBorders>
            <w:shd w:val="clear" w:color="auto" w:fill="FFFFFF"/>
            <w:vAlign w:val="center"/>
          </w:tcPr>
          <w:p w14:paraId="4058C59E" w14:textId="77777777" w:rsidR="00632A6A" w:rsidRDefault="004553F6">
            <w:pPr>
              <w:jc w:val="center"/>
              <w:rPr>
                <w:sz w:val="24"/>
                <w:szCs w:val="24"/>
              </w:rPr>
            </w:pPr>
            <w:r>
              <w:rPr>
                <w:sz w:val="24"/>
                <w:szCs w:val="24"/>
              </w:rPr>
              <w:t>Año</w:t>
            </w:r>
          </w:p>
        </w:tc>
        <w:tc>
          <w:tcPr>
            <w:tcW w:w="2835" w:type="dxa"/>
            <w:tcBorders>
              <w:top w:val="single" w:sz="4" w:space="0" w:color="000000"/>
              <w:bottom w:val="single" w:sz="4" w:space="0" w:color="000000"/>
            </w:tcBorders>
            <w:shd w:val="clear" w:color="auto" w:fill="FFFFFF"/>
            <w:vAlign w:val="center"/>
          </w:tcPr>
          <w:p w14:paraId="28A209EE" w14:textId="77777777" w:rsidR="00632A6A" w:rsidRDefault="004553F6">
            <w:pPr>
              <w:jc w:val="center"/>
              <w:rPr>
                <w:sz w:val="24"/>
                <w:szCs w:val="24"/>
              </w:rPr>
            </w:pPr>
            <w:r>
              <w:rPr>
                <w:sz w:val="24"/>
                <w:szCs w:val="24"/>
              </w:rPr>
              <w:t>Microempresas</w:t>
            </w:r>
          </w:p>
        </w:tc>
        <w:tc>
          <w:tcPr>
            <w:tcW w:w="2976" w:type="dxa"/>
            <w:tcBorders>
              <w:top w:val="single" w:sz="4" w:space="0" w:color="000000"/>
              <w:bottom w:val="single" w:sz="4" w:space="0" w:color="000000"/>
            </w:tcBorders>
            <w:shd w:val="clear" w:color="auto" w:fill="FFFFFF"/>
            <w:vAlign w:val="center"/>
          </w:tcPr>
          <w:p w14:paraId="6B63A688" w14:textId="77777777" w:rsidR="00632A6A" w:rsidRDefault="004553F6">
            <w:pPr>
              <w:jc w:val="center"/>
              <w:rPr>
                <w:sz w:val="24"/>
                <w:szCs w:val="24"/>
              </w:rPr>
            </w:pPr>
            <w:r>
              <w:rPr>
                <w:sz w:val="24"/>
                <w:szCs w:val="24"/>
              </w:rPr>
              <w:t>Pequeñas empresas</w:t>
            </w:r>
          </w:p>
        </w:tc>
        <w:tc>
          <w:tcPr>
            <w:tcW w:w="2552" w:type="dxa"/>
            <w:tcBorders>
              <w:top w:val="single" w:sz="4" w:space="0" w:color="000000"/>
              <w:bottom w:val="single" w:sz="4" w:space="0" w:color="000000"/>
            </w:tcBorders>
            <w:shd w:val="clear" w:color="auto" w:fill="FFFFFF"/>
            <w:vAlign w:val="center"/>
          </w:tcPr>
          <w:p w14:paraId="68F89CA6" w14:textId="77777777" w:rsidR="00632A6A" w:rsidRDefault="004553F6">
            <w:pPr>
              <w:jc w:val="center"/>
              <w:rPr>
                <w:sz w:val="24"/>
                <w:szCs w:val="24"/>
              </w:rPr>
            </w:pPr>
            <w:r>
              <w:rPr>
                <w:sz w:val="24"/>
                <w:szCs w:val="24"/>
              </w:rPr>
              <w:t>Total de MYPES</w:t>
            </w:r>
          </w:p>
        </w:tc>
      </w:tr>
      <w:tr w:rsidR="00632A6A" w14:paraId="6267F71B" w14:textId="77777777">
        <w:trPr>
          <w:trHeight w:val="156"/>
        </w:trPr>
        <w:tc>
          <w:tcPr>
            <w:tcW w:w="993" w:type="dxa"/>
            <w:tcBorders>
              <w:top w:val="single" w:sz="4" w:space="0" w:color="000000"/>
            </w:tcBorders>
            <w:shd w:val="clear" w:color="auto" w:fill="FFFFFF"/>
            <w:vAlign w:val="bottom"/>
          </w:tcPr>
          <w:p w14:paraId="708FB3C2" w14:textId="77777777" w:rsidR="00632A6A" w:rsidRDefault="004553F6">
            <w:pPr>
              <w:jc w:val="center"/>
              <w:rPr>
                <w:sz w:val="24"/>
                <w:szCs w:val="24"/>
              </w:rPr>
            </w:pPr>
            <w:r>
              <w:rPr>
                <w:sz w:val="24"/>
                <w:szCs w:val="24"/>
              </w:rPr>
              <w:t>2012</w:t>
            </w:r>
          </w:p>
        </w:tc>
        <w:tc>
          <w:tcPr>
            <w:tcW w:w="2835" w:type="dxa"/>
            <w:tcBorders>
              <w:top w:val="single" w:sz="4" w:space="0" w:color="000000"/>
            </w:tcBorders>
            <w:shd w:val="clear" w:color="auto" w:fill="FFFFFF"/>
            <w:vAlign w:val="bottom"/>
          </w:tcPr>
          <w:p w14:paraId="53F01A21" w14:textId="77777777" w:rsidR="00632A6A" w:rsidRDefault="004553F6">
            <w:pPr>
              <w:jc w:val="center"/>
              <w:rPr>
                <w:sz w:val="24"/>
                <w:szCs w:val="24"/>
              </w:rPr>
            </w:pPr>
            <w:r>
              <w:rPr>
                <w:sz w:val="24"/>
                <w:szCs w:val="24"/>
              </w:rPr>
              <w:t>73502</w:t>
            </w:r>
          </w:p>
        </w:tc>
        <w:tc>
          <w:tcPr>
            <w:tcW w:w="2976" w:type="dxa"/>
            <w:tcBorders>
              <w:top w:val="single" w:sz="4" w:space="0" w:color="000000"/>
            </w:tcBorders>
            <w:shd w:val="clear" w:color="auto" w:fill="FFFFFF"/>
            <w:vAlign w:val="bottom"/>
          </w:tcPr>
          <w:p w14:paraId="3D27392F" w14:textId="77777777" w:rsidR="00632A6A" w:rsidRDefault="004553F6">
            <w:pPr>
              <w:jc w:val="center"/>
              <w:rPr>
                <w:sz w:val="24"/>
                <w:szCs w:val="24"/>
              </w:rPr>
            </w:pPr>
            <w:r>
              <w:rPr>
                <w:sz w:val="24"/>
                <w:szCs w:val="24"/>
              </w:rPr>
              <w:t>4 871</w:t>
            </w:r>
          </w:p>
        </w:tc>
        <w:tc>
          <w:tcPr>
            <w:tcW w:w="2552" w:type="dxa"/>
            <w:tcBorders>
              <w:top w:val="single" w:sz="4" w:space="0" w:color="000000"/>
            </w:tcBorders>
            <w:shd w:val="clear" w:color="auto" w:fill="FFFFFF"/>
            <w:vAlign w:val="bottom"/>
          </w:tcPr>
          <w:p w14:paraId="24C987B5" w14:textId="77777777" w:rsidR="00632A6A" w:rsidRDefault="004553F6">
            <w:pPr>
              <w:jc w:val="center"/>
              <w:rPr>
                <w:sz w:val="24"/>
                <w:szCs w:val="24"/>
              </w:rPr>
            </w:pPr>
            <w:r>
              <w:rPr>
                <w:sz w:val="24"/>
                <w:szCs w:val="24"/>
              </w:rPr>
              <w:t>78373</w:t>
            </w:r>
          </w:p>
        </w:tc>
      </w:tr>
      <w:tr w:rsidR="00632A6A" w14:paraId="2A70CA91" w14:textId="77777777">
        <w:trPr>
          <w:trHeight w:val="325"/>
        </w:trPr>
        <w:tc>
          <w:tcPr>
            <w:tcW w:w="993" w:type="dxa"/>
            <w:shd w:val="clear" w:color="auto" w:fill="FFFFFF"/>
            <w:vAlign w:val="bottom"/>
          </w:tcPr>
          <w:p w14:paraId="497FA42B" w14:textId="77777777" w:rsidR="00632A6A" w:rsidRDefault="004553F6">
            <w:pPr>
              <w:jc w:val="center"/>
              <w:rPr>
                <w:sz w:val="24"/>
                <w:szCs w:val="24"/>
              </w:rPr>
            </w:pPr>
            <w:r>
              <w:rPr>
                <w:sz w:val="24"/>
                <w:szCs w:val="24"/>
              </w:rPr>
              <w:t>2013</w:t>
            </w:r>
          </w:p>
        </w:tc>
        <w:tc>
          <w:tcPr>
            <w:tcW w:w="2835" w:type="dxa"/>
            <w:shd w:val="clear" w:color="auto" w:fill="FFFFFF"/>
            <w:vAlign w:val="bottom"/>
          </w:tcPr>
          <w:p w14:paraId="40C9EBE6" w14:textId="77777777" w:rsidR="00632A6A" w:rsidRDefault="004553F6">
            <w:pPr>
              <w:jc w:val="center"/>
              <w:rPr>
                <w:sz w:val="24"/>
                <w:szCs w:val="24"/>
              </w:rPr>
            </w:pPr>
            <w:r>
              <w:rPr>
                <w:sz w:val="24"/>
                <w:szCs w:val="24"/>
              </w:rPr>
              <w:t>74707</w:t>
            </w:r>
          </w:p>
        </w:tc>
        <w:tc>
          <w:tcPr>
            <w:tcW w:w="2976" w:type="dxa"/>
            <w:shd w:val="clear" w:color="auto" w:fill="FFFFFF"/>
            <w:vAlign w:val="bottom"/>
          </w:tcPr>
          <w:p w14:paraId="1D6BAE13" w14:textId="77777777" w:rsidR="00632A6A" w:rsidRDefault="004553F6">
            <w:pPr>
              <w:jc w:val="center"/>
              <w:rPr>
                <w:sz w:val="24"/>
                <w:szCs w:val="24"/>
              </w:rPr>
            </w:pPr>
            <w:r>
              <w:rPr>
                <w:sz w:val="24"/>
                <w:szCs w:val="24"/>
              </w:rPr>
              <w:t>5682</w:t>
            </w:r>
          </w:p>
        </w:tc>
        <w:tc>
          <w:tcPr>
            <w:tcW w:w="2552" w:type="dxa"/>
            <w:shd w:val="clear" w:color="auto" w:fill="FFFFFF"/>
            <w:vAlign w:val="bottom"/>
          </w:tcPr>
          <w:p w14:paraId="4701C85F" w14:textId="77777777" w:rsidR="00632A6A" w:rsidRDefault="004553F6">
            <w:pPr>
              <w:jc w:val="center"/>
              <w:rPr>
                <w:sz w:val="24"/>
                <w:szCs w:val="24"/>
              </w:rPr>
            </w:pPr>
            <w:r>
              <w:rPr>
                <w:sz w:val="24"/>
                <w:szCs w:val="24"/>
              </w:rPr>
              <w:t>80389</w:t>
            </w:r>
          </w:p>
        </w:tc>
      </w:tr>
      <w:tr w:rsidR="00632A6A" w14:paraId="47CEE039" w14:textId="77777777">
        <w:trPr>
          <w:trHeight w:val="156"/>
        </w:trPr>
        <w:tc>
          <w:tcPr>
            <w:tcW w:w="993" w:type="dxa"/>
            <w:shd w:val="clear" w:color="auto" w:fill="FFFFFF"/>
            <w:vAlign w:val="bottom"/>
          </w:tcPr>
          <w:p w14:paraId="4417DF4A" w14:textId="77777777" w:rsidR="00632A6A" w:rsidRDefault="004553F6">
            <w:pPr>
              <w:jc w:val="center"/>
              <w:rPr>
                <w:sz w:val="24"/>
                <w:szCs w:val="24"/>
              </w:rPr>
            </w:pPr>
            <w:r>
              <w:rPr>
                <w:sz w:val="24"/>
                <w:szCs w:val="24"/>
              </w:rPr>
              <w:t>2014</w:t>
            </w:r>
          </w:p>
        </w:tc>
        <w:tc>
          <w:tcPr>
            <w:tcW w:w="2835" w:type="dxa"/>
            <w:shd w:val="clear" w:color="auto" w:fill="FFFFFF"/>
            <w:vAlign w:val="bottom"/>
          </w:tcPr>
          <w:p w14:paraId="62DDDFB7" w14:textId="77777777" w:rsidR="00632A6A" w:rsidRDefault="004553F6">
            <w:pPr>
              <w:jc w:val="center"/>
              <w:rPr>
                <w:sz w:val="24"/>
                <w:szCs w:val="24"/>
              </w:rPr>
            </w:pPr>
            <w:r>
              <w:rPr>
                <w:sz w:val="24"/>
                <w:szCs w:val="24"/>
              </w:rPr>
              <w:t>76386</w:t>
            </w:r>
          </w:p>
        </w:tc>
        <w:tc>
          <w:tcPr>
            <w:tcW w:w="2976" w:type="dxa"/>
            <w:shd w:val="clear" w:color="auto" w:fill="FFFFFF"/>
            <w:vAlign w:val="bottom"/>
          </w:tcPr>
          <w:p w14:paraId="74DC5468" w14:textId="77777777" w:rsidR="00632A6A" w:rsidRDefault="004553F6">
            <w:pPr>
              <w:jc w:val="center"/>
              <w:rPr>
                <w:sz w:val="24"/>
                <w:szCs w:val="24"/>
              </w:rPr>
            </w:pPr>
            <w:r>
              <w:rPr>
                <w:sz w:val="24"/>
                <w:szCs w:val="24"/>
              </w:rPr>
              <w:t>6 052</w:t>
            </w:r>
          </w:p>
        </w:tc>
        <w:tc>
          <w:tcPr>
            <w:tcW w:w="2552" w:type="dxa"/>
            <w:shd w:val="clear" w:color="auto" w:fill="FFFFFF"/>
            <w:vAlign w:val="bottom"/>
          </w:tcPr>
          <w:p w14:paraId="439F0D52" w14:textId="77777777" w:rsidR="00632A6A" w:rsidRDefault="004553F6">
            <w:pPr>
              <w:jc w:val="center"/>
              <w:rPr>
                <w:sz w:val="24"/>
                <w:szCs w:val="24"/>
              </w:rPr>
            </w:pPr>
            <w:r>
              <w:rPr>
                <w:sz w:val="24"/>
                <w:szCs w:val="24"/>
              </w:rPr>
              <w:t>82438</w:t>
            </w:r>
          </w:p>
        </w:tc>
      </w:tr>
      <w:tr w:rsidR="00632A6A" w14:paraId="2B7EFD91" w14:textId="77777777">
        <w:trPr>
          <w:trHeight w:val="156"/>
        </w:trPr>
        <w:tc>
          <w:tcPr>
            <w:tcW w:w="993" w:type="dxa"/>
            <w:shd w:val="clear" w:color="auto" w:fill="FFFFFF"/>
            <w:vAlign w:val="bottom"/>
          </w:tcPr>
          <w:p w14:paraId="667CD7F3" w14:textId="77777777" w:rsidR="00632A6A" w:rsidRDefault="004553F6">
            <w:pPr>
              <w:jc w:val="center"/>
              <w:rPr>
                <w:sz w:val="24"/>
                <w:szCs w:val="24"/>
              </w:rPr>
            </w:pPr>
            <w:r>
              <w:rPr>
                <w:sz w:val="24"/>
                <w:szCs w:val="24"/>
              </w:rPr>
              <w:t>2015</w:t>
            </w:r>
          </w:p>
        </w:tc>
        <w:tc>
          <w:tcPr>
            <w:tcW w:w="2835" w:type="dxa"/>
            <w:shd w:val="clear" w:color="auto" w:fill="FFFFFF"/>
            <w:vAlign w:val="bottom"/>
          </w:tcPr>
          <w:p w14:paraId="5E757F09" w14:textId="77777777" w:rsidR="00632A6A" w:rsidRDefault="004553F6">
            <w:pPr>
              <w:jc w:val="center"/>
              <w:rPr>
                <w:sz w:val="24"/>
                <w:szCs w:val="24"/>
              </w:rPr>
            </w:pPr>
            <w:r>
              <w:rPr>
                <w:sz w:val="24"/>
                <w:szCs w:val="24"/>
              </w:rPr>
              <w:t>77810</w:t>
            </w:r>
          </w:p>
        </w:tc>
        <w:tc>
          <w:tcPr>
            <w:tcW w:w="2976" w:type="dxa"/>
            <w:shd w:val="clear" w:color="auto" w:fill="FFFFFF"/>
            <w:vAlign w:val="bottom"/>
          </w:tcPr>
          <w:p w14:paraId="5C975C7A" w14:textId="77777777" w:rsidR="00632A6A" w:rsidRDefault="004553F6">
            <w:pPr>
              <w:jc w:val="center"/>
              <w:rPr>
                <w:sz w:val="24"/>
                <w:szCs w:val="24"/>
              </w:rPr>
            </w:pPr>
            <w:r>
              <w:rPr>
                <w:sz w:val="24"/>
                <w:szCs w:val="24"/>
              </w:rPr>
              <w:t>6 475</w:t>
            </w:r>
          </w:p>
        </w:tc>
        <w:tc>
          <w:tcPr>
            <w:tcW w:w="2552" w:type="dxa"/>
            <w:shd w:val="clear" w:color="auto" w:fill="FFFFFF"/>
            <w:vAlign w:val="bottom"/>
          </w:tcPr>
          <w:p w14:paraId="35C396DA" w14:textId="77777777" w:rsidR="00632A6A" w:rsidRDefault="004553F6">
            <w:pPr>
              <w:jc w:val="center"/>
              <w:rPr>
                <w:sz w:val="24"/>
                <w:szCs w:val="24"/>
              </w:rPr>
            </w:pPr>
            <w:r>
              <w:rPr>
                <w:sz w:val="24"/>
                <w:szCs w:val="24"/>
              </w:rPr>
              <w:t>84285</w:t>
            </w:r>
          </w:p>
        </w:tc>
      </w:tr>
      <w:tr w:rsidR="00632A6A" w14:paraId="1C214C2B" w14:textId="77777777">
        <w:trPr>
          <w:trHeight w:val="156"/>
        </w:trPr>
        <w:tc>
          <w:tcPr>
            <w:tcW w:w="993" w:type="dxa"/>
            <w:shd w:val="clear" w:color="auto" w:fill="FFFFFF"/>
            <w:vAlign w:val="bottom"/>
          </w:tcPr>
          <w:p w14:paraId="41D26B62" w14:textId="77777777" w:rsidR="00632A6A" w:rsidRDefault="004553F6">
            <w:pPr>
              <w:jc w:val="center"/>
              <w:rPr>
                <w:sz w:val="24"/>
                <w:szCs w:val="24"/>
              </w:rPr>
            </w:pPr>
            <w:r>
              <w:rPr>
                <w:sz w:val="24"/>
                <w:szCs w:val="24"/>
              </w:rPr>
              <w:t>2016</w:t>
            </w:r>
          </w:p>
        </w:tc>
        <w:tc>
          <w:tcPr>
            <w:tcW w:w="2835" w:type="dxa"/>
            <w:shd w:val="clear" w:color="auto" w:fill="FFFFFF"/>
            <w:vAlign w:val="bottom"/>
          </w:tcPr>
          <w:p w14:paraId="406E61EC" w14:textId="77777777" w:rsidR="00632A6A" w:rsidRDefault="004553F6">
            <w:pPr>
              <w:jc w:val="center"/>
              <w:rPr>
                <w:sz w:val="24"/>
                <w:szCs w:val="24"/>
              </w:rPr>
            </w:pPr>
            <w:r>
              <w:rPr>
                <w:sz w:val="24"/>
                <w:szCs w:val="24"/>
              </w:rPr>
              <w:t>80323</w:t>
            </w:r>
          </w:p>
        </w:tc>
        <w:tc>
          <w:tcPr>
            <w:tcW w:w="2976" w:type="dxa"/>
            <w:shd w:val="clear" w:color="auto" w:fill="FFFFFF"/>
            <w:vAlign w:val="bottom"/>
          </w:tcPr>
          <w:p w14:paraId="65AF73F9" w14:textId="77777777" w:rsidR="00632A6A" w:rsidRDefault="004553F6">
            <w:pPr>
              <w:jc w:val="center"/>
              <w:rPr>
                <w:sz w:val="24"/>
                <w:szCs w:val="24"/>
              </w:rPr>
            </w:pPr>
            <w:r>
              <w:rPr>
                <w:sz w:val="24"/>
                <w:szCs w:val="24"/>
              </w:rPr>
              <w:t>6 702</w:t>
            </w:r>
          </w:p>
        </w:tc>
        <w:tc>
          <w:tcPr>
            <w:tcW w:w="2552" w:type="dxa"/>
            <w:shd w:val="clear" w:color="auto" w:fill="FFFFFF"/>
            <w:vAlign w:val="bottom"/>
          </w:tcPr>
          <w:p w14:paraId="1700FE1D" w14:textId="77777777" w:rsidR="00632A6A" w:rsidRDefault="004553F6">
            <w:pPr>
              <w:jc w:val="center"/>
              <w:rPr>
                <w:sz w:val="24"/>
                <w:szCs w:val="24"/>
              </w:rPr>
            </w:pPr>
            <w:r>
              <w:rPr>
                <w:sz w:val="24"/>
                <w:szCs w:val="24"/>
              </w:rPr>
              <w:t>87025</w:t>
            </w:r>
          </w:p>
        </w:tc>
      </w:tr>
      <w:tr w:rsidR="00632A6A" w14:paraId="5250B314" w14:textId="77777777">
        <w:trPr>
          <w:trHeight w:val="275"/>
        </w:trPr>
        <w:tc>
          <w:tcPr>
            <w:tcW w:w="993" w:type="dxa"/>
            <w:shd w:val="clear" w:color="auto" w:fill="FFFFFF"/>
            <w:vAlign w:val="bottom"/>
          </w:tcPr>
          <w:p w14:paraId="4473D8D9" w14:textId="77777777" w:rsidR="00632A6A" w:rsidRDefault="004553F6">
            <w:pPr>
              <w:jc w:val="center"/>
              <w:rPr>
                <w:sz w:val="24"/>
                <w:szCs w:val="24"/>
              </w:rPr>
            </w:pPr>
            <w:r>
              <w:rPr>
                <w:sz w:val="24"/>
                <w:szCs w:val="24"/>
              </w:rPr>
              <w:t>2017</w:t>
            </w:r>
          </w:p>
        </w:tc>
        <w:tc>
          <w:tcPr>
            <w:tcW w:w="2835" w:type="dxa"/>
            <w:shd w:val="clear" w:color="auto" w:fill="FFFFFF"/>
            <w:vAlign w:val="bottom"/>
          </w:tcPr>
          <w:p w14:paraId="2B52E4C2" w14:textId="77777777" w:rsidR="00632A6A" w:rsidRDefault="004553F6">
            <w:pPr>
              <w:jc w:val="center"/>
              <w:rPr>
                <w:sz w:val="24"/>
                <w:szCs w:val="24"/>
              </w:rPr>
            </w:pPr>
            <w:r>
              <w:rPr>
                <w:sz w:val="24"/>
                <w:szCs w:val="24"/>
              </w:rPr>
              <w:t>84812</w:t>
            </w:r>
          </w:p>
        </w:tc>
        <w:tc>
          <w:tcPr>
            <w:tcW w:w="2976" w:type="dxa"/>
            <w:shd w:val="clear" w:color="auto" w:fill="FFFFFF"/>
            <w:vAlign w:val="bottom"/>
          </w:tcPr>
          <w:p w14:paraId="261EBDD8" w14:textId="77777777" w:rsidR="00632A6A" w:rsidRDefault="004553F6">
            <w:pPr>
              <w:jc w:val="center"/>
              <w:rPr>
                <w:sz w:val="24"/>
                <w:szCs w:val="24"/>
              </w:rPr>
            </w:pPr>
            <w:r>
              <w:rPr>
                <w:sz w:val="24"/>
                <w:szCs w:val="24"/>
              </w:rPr>
              <w:t>6 721</w:t>
            </w:r>
          </w:p>
        </w:tc>
        <w:tc>
          <w:tcPr>
            <w:tcW w:w="2552" w:type="dxa"/>
            <w:shd w:val="clear" w:color="auto" w:fill="FFFFFF"/>
            <w:vAlign w:val="bottom"/>
          </w:tcPr>
          <w:p w14:paraId="0465D95F" w14:textId="77777777" w:rsidR="00632A6A" w:rsidRDefault="004553F6">
            <w:pPr>
              <w:jc w:val="center"/>
              <w:rPr>
                <w:sz w:val="24"/>
                <w:szCs w:val="24"/>
              </w:rPr>
            </w:pPr>
            <w:r>
              <w:rPr>
                <w:sz w:val="24"/>
                <w:szCs w:val="24"/>
              </w:rPr>
              <w:t>91533</w:t>
            </w:r>
          </w:p>
        </w:tc>
      </w:tr>
      <w:tr w:rsidR="00632A6A" w14:paraId="48D67C5E" w14:textId="77777777">
        <w:trPr>
          <w:trHeight w:val="156"/>
        </w:trPr>
        <w:tc>
          <w:tcPr>
            <w:tcW w:w="993" w:type="dxa"/>
            <w:shd w:val="clear" w:color="auto" w:fill="FFFFFF"/>
            <w:vAlign w:val="bottom"/>
          </w:tcPr>
          <w:p w14:paraId="7CF2EE7D" w14:textId="77777777" w:rsidR="00632A6A" w:rsidRDefault="004553F6">
            <w:pPr>
              <w:jc w:val="center"/>
              <w:rPr>
                <w:sz w:val="24"/>
                <w:szCs w:val="24"/>
              </w:rPr>
            </w:pPr>
            <w:r>
              <w:rPr>
                <w:sz w:val="24"/>
                <w:szCs w:val="24"/>
              </w:rPr>
              <w:t>2018</w:t>
            </w:r>
          </w:p>
        </w:tc>
        <w:tc>
          <w:tcPr>
            <w:tcW w:w="2835" w:type="dxa"/>
            <w:shd w:val="clear" w:color="auto" w:fill="FFFFFF"/>
            <w:vAlign w:val="bottom"/>
          </w:tcPr>
          <w:p w14:paraId="0EB424A7" w14:textId="77777777" w:rsidR="00632A6A" w:rsidRDefault="004553F6">
            <w:pPr>
              <w:jc w:val="center"/>
              <w:rPr>
                <w:sz w:val="24"/>
                <w:szCs w:val="24"/>
              </w:rPr>
            </w:pPr>
            <w:r>
              <w:rPr>
                <w:sz w:val="24"/>
                <w:szCs w:val="24"/>
              </w:rPr>
              <w:t>87094</w:t>
            </w:r>
          </w:p>
        </w:tc>
        <w:tc>
          <w:tcPr>
            <w:tcW w:w="2976" w:type="dxa"/>
            <w:shd w:val="clear" w:color="auto" w:fill="FFFFFF"/>
            <w:vAlign w:val="bottom"/>
          </w:tcPr>
          <w:p w14:paraId="2FEEDC3B" w14:textId="77777777" w:rsidR="00632A6A" w:rsidRDefault="004553F6">
            <w:pPr>
              <w:jc w:val="center"/>
              <w:rPr>
                <w:sz w:val="24"/>
                <w:szCs w:val="24"/>
              </w:rPr>
            </w:pPr>
            <w:r>
              <w:rPr>
                <w:sz w:val="24"/>
                <w:szCs w:val="24"/>
              </w:rPr>
              <w:t>6 745</w:t>
            </w:r>
          </w:p>
        </w:tc>
        <w:tc>
          <w:tcPr>
            <w:tcW w:w="2552" w:type="dxa"/>
            <w:shd w:val="clear" w:color="auto" w:fill="FFFFFF"/>
            <w:vAlign w:val="bottom"/>
          </w:tcPr>
          <w:p w14:paraId="79839ACC" w14:textId="77777777" w:rsidR="00632A6A" w:rsidRDefault="004553F6">
            <w:pPr>
              <w:jc w:val="center"/>
              <w:rPr>
                <w:sz w:val="24"/>
                <w:szCs w:val="24"/>
              </w:rPr>
            </w:pPr>
            <w:r>
              <w:rPr>
                <w:sz w:val="24"/>
                <w:szCs w:val="24"/>
              </w:rPr>
              <w:t>93839</w:t>
            </w:r>
          </w:p>
        </w:tc>
      </w:tr>
      <w:tr w:rsidR="00632A6A" w14:paraId="1FC8565B" w14:textId="77777777">
        <w:trPr>
          <w:trHeight w:val="215"/>
        </w:trPr>
        <w:tc>
          <w:tcPr>
            <w:tcW w:w="993" w:type="dxa"/>
            <w:tcBorders>
              <w:bottom w:val="single" w:sz="4" w:space="0" w:color="000000"/>
            </w:tcBorders>
            <w:shd w:val="clear" w:color="auto" w:fill="FFFFFF"/>
            <w:vAlign w:val="bottom"/>
          </w:tcPr>
          <w:p w14:paraId="676E1084" w14:textId="77777777" w:rsidR="00632A6A" w:rsidRDefault="004553F6">
            <w:pPr>
              <w:jc w:val="center"/>
              <w:rPr>
                <w:sz w:val="24"/>
                <w:szCs w:val="24"/>
              </w:rPr>
            </w:pPr>
            <w:r>
              <w:rPr>
                <w:sz w:val="24"/>
                <w:szCs w:val="24"/>
              </w:rPr>
              <w:t>2019</w:t>
            </w:r>
          </w:p>
        </w:tc>
        <w:tc>
          <w:tcPr>
            <w:tcW w:w="2835" w:type="dxa"/>
            <w:tcBorders>
              <w:bottom w:val="single" w:sz="4" w:space="0" w:color="000000"/>
            </w:tcBorders>
            <w:shd w:val="clear" w:color="auto" w:fill="FFFFFF"/>
            <w:vAlign w:val="bottom"/>
          </w:tcPr>
          <w:p w14:paraId="047C8727" w14:textId="77777777" w:rsidR="00632A6A" w:rsidRDefault="004553F6">
            <w:pPr>
              <w:jc w:val="center"/>
              <w:rPr>
                <w:sz w:val="24"/>
                <w:szCs w:val="24"/>
              </w:rPr>
            </w:pPr>
            <w:r>
              <w:rPr>
                <w:sz w:val="24"/>
                <w:szCs w:val="24"/>
              </w:rPr>
              <w:t>97456</w:t>
            </w:r>
          </w:p>
        </w:tc>
        <w:tc>
          <w:tcPr>
            <w:tcW w:w="2976" w:type="dxa"/>
            <w:tcBorders>
              <w:bottom w:val="single" w:sz="4" w:space="0" w:color="000000"/>
            </w:tcBorders>
            <w:shd w:val="clear" w:color="auto" w:fill="FFFFFF"/>
            <w:vAlign w:val="bottom"/>
          </w:tcPr>
          <w:p w14:paraId="38598590" w14:textId="77777777" w:rsidR="00632A6A" w:rsidRDefault="004553F6">
            <w:pPr>
              <w:jc w:val="center"/>
              <w:rPr>
                <w:sz w:val="24"/>
                <w:szCs w:val="24"/>
              </w:rPr>
            </w:pPr>
            <w:r>
              <w:rPr>
                <w:sz w:val="24"/>
                <w:szCs w:val="24"/>
              </w:rPr>
              <w:t>6 738</w:t>
            </w:r>
          </w:p>
        </w:tc>
        <w:tc>
          <w:tcPr>
            <w:tcW w:w="2552" w:type="dxa"/>
            <w:tcBorders>
              <w:bottom w:val="single" w:sz="4" w:space="0" w:color="000000"/>
            </w:tcBorders>
            <w:shd w:val="clear" w:color="auto" w:fill="FFFFFF"/>
            <w:vAlign w:val="bottom"/>
          </w:tcPr>
          <w:p w14:paraId="5D65A719" w14:textId="77777777" w:rsidR="00632A6A" w:rsidRDefault="004553F6">
            <w:pPr>
              <w:jc w:val="center"/>
              <w:rPr>
                <w:sz w:val="24"/>
                <w:szCs w:val="24"/>
              </w:rPr>
            </w:pPr>
            <w:r>
              <w:rPr>
                <w:sz w:val="24"/>
                <w:szCs w:val="24"/>
              </w:rPr>
              <w:t>104194</w:t>
            </w:r>
          </w:p>
        </w:tc>
      </w:tr>
    </w:tbl>
    <w:p w14:paraId="63A5A697" w14:textId="77777777" w:rsidR="00632A6A" w:rsidRDefault="004553F6">
      <w:pPr>
        <w:spacing w:line="360" w:lineRule="auto"/>
        <w:jc w:val="both"/>
        <w:rPr>
          <w:color w:val="000000"/>
        </w:rPr>
      </w:pPr>
      <w:r>
        <w:rPr>
          <w:color w:val="000000"/>
        </w:rPr>
        <w:t>Fuente: Adaptado de SUNAT, Registro Único del Contribuyente, 2012-2019, Ministerio de la Producción (2019)</w:t>
      </w:r>
    </w:p>
    <w:p w14:paraId="64F4DE46"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21000118" w14:textId="7474184D"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La informalidad no sólo está presente en el aspecto tributario, ya que también lo está en las relaciones laborales, pues una empresa legalmente constituida, registrada en la SUNAT y que paga puntualmente sus impuestos, puede registrar en su planilla un número menor de trabajadores con los cuales si existe un vínculo laboral. En la Tabla 3 y la Figura 1 se observa que la variación total de MYPES formales es ascendente hasta el año 2018 con una leve reducción en el año 2019 con 91671 empresas. Respecto a las MYPES informales presenta una variación en el año 2018 de 1541 empresas MYPES y esto se debe a la fiscalización de la SUNAT.</w:t>
      </w:r>
    </w:p>
    <w:p w14:paraId="1D1E104B" w14:textId="77777777" w:rsidR="00632A6A" w:rsidRDefault="004553F6">
      <w:pPr>
        <w:keepNext/>
        <w:spacing w:line="360" w:lineRule="auto"/>
        <w:rPr>
          <w:sz w:val="24"/>
          <w:szCs w:val="24"/>
        </w:rPr>
      </w:pPr>
      <w:r>
        <w:rPr>
          <w:sz w:val="24"/>
          <w:szCs w:val="24"/>
        </w:rPr>
        <w:lastRenderedPageBreak/>
        <w:t xml:space="preserve">Tabla 3 </w:t>
      </w:r>
    </w:p>
    <w:p w14:paraId="2563BEDA" w14:textId="3C4D3CC6" w:rsidR="00632A6A" w:rsidRDefault="006B41A0">
      <w:pPr>
        <w:keepNext/>
        <w:spacing w:line="360" w:lineRule="auto"/>
        <w:rPr>
          <w:i/>
          <w:sz w:val="24"/>
          <w:szCs w:val="24"/>
        </w:rPr>
      </w:pPr>
      <w:r>
        <w:rPr>
          <w:i/>
          <w:sz w:val="24"/>
          <w:szCs w:val="24"/>
        </w:rPr>
        <w:t>Estimación del total de MYPES</w:t>
      </w:r>
      <w:r w:rsidR="004553F6">
        <w:rPr>
          <w:i/>
          <w:sz w:val="24"/>
          <w:szCs w:val="24"/>
        </w:rPr>
        <w:t xml:space="preserve"> formales e informales Periodo 2012-2019</w:t>
      </w:r>
    </w:p>
    <w:tbl>
      <w:tblPr>
        <w:tblStyle w:val="a1"/>
        <w:tblW w:w="9356" w:type="dxa"/>
        <w:tblInd w:w="0" w:type="dxa"/>
        <w:tblLayout w:type="fixed"/>
        <w:tblLook w:val="0400" w:firstRow="0" w:lastRow="0" w:firstColumn="0" w:lastColumn="0" w:noHBand="0" w:noVBand="1"/>
      </w:tblPr>
      <w:tblGrid>
        <w:gridCol w:w="1240"/>
        <w:gridCol w:w="1521"/>
        <w:gridCol w:w="1419"/>
        <w:gridCol w:w="1283"/>
        <w:gridCol w:w="1197"/>
        <w:gridCol w:w="2696"/>
      </w:tblGrid>
      <w:tr w:rsidR="00632A6A" w14:paraId="2101937C" w14:textId="77777777">
        <w:trPr>
          <w:trHeight w:val="312"/>
        </w:trPr>
        <w:tc>
          <w:tcPr>
            <w:tcW w:w="1240" w:type="dxa"/>
            <w:vMerge w:val="restart"/>
            <w:tcBorders>
              <w:top w:val="single" w:sz="4" w:space="0" w:color="000000"/>
              <w:left w:val="nil"/>
              <w:bottom w:val="nil"/>
              <w:right w:val="nil"/>
            </w:tcBorders>
            <w:shd w:val="clear" w:color="auto" w:fill="FFFFFF"/>
            <w:vAlign w:val="center"/>
          </w:tcPr>
          <w:p w14:paraId="7E9D6E1C" w14:textId="77777777" w:rsidR="00632A6A" w:rsidRDefault="004553F6">
            <w:pPr>
              <w:jc w:val="center"/>
              <w:rPr>
                <w:color w:val="000000"/>
                <w:sz w:val="22"/>
                <w:szCs w:val="22"/>
              </w:rPr>
            </w:pPr>
            <w:r>
              <w:rPr>
                <w:color w:val="000000"/>
                <w:sz w:val="22"/>
                <w:szCs w:val="22"/>
              </w:rPr>
              <w:t>AÑO</w:t>
            </w:r>
          </w:p>
        </w:tc>
        <w:tc>
          <w:tcPr>
            <w:tcW w:w="2940" w:type="dxa"/>
            <w:gridSpan w:val="2"/>
            <w:tcBorders>
              <w:top w:val="single" w:sz="4" w:space="0" w:color="000000"/>
              <w:left w:val="nil"/>
              <w:bottom w:val="single" w:sz="4" w:space="0" w:color="000000"/>
              <w:right w:val="nil"/>
            </w:tcBorders>
            <w:shd w:val="clear" w:color="auto" w:fill="FFFFFF"/>
            <w:vAlign w:val="bottom"/>
          </w:tcPr>
          <w:p w14:paraId="78961BDC" w14:textId="77777777" w:rsidR="00632A6A" w:rsidRDefault="004553F6">
            <w:pPr>
              <w:jc w:val="center"/>
              <w:rPr>
                <w:color w:val="000000"/>
                <w:sz w:val="22"/>
                <w:szCs w:val="22"/>
              </w:rPr>
            </w:pPr>
            <w:r>
              <w:rPr>
                <w:color w:val="000000"/>
                <w:sz w:val="22"/>
                <w:szCs w:val="22"/>
              </w:rPr>
              <w:t>MYPES formales</w:t>
            </w:r>
          </w:p>
        </w:tc>
        <w:tc>
          <w:tcPr>
            <w:tcW w:w="2480" w:type="dxa"/>
            <w:gridSpan w:val="2"/>
            <w:tcBorders>
              <w:top w:val="single" w:sz="4" w:space="0" w:color="000000"/>
              <w:left w:val="nil"/>
              <w:bottom w:val="single" w:sz="4" w:space="0" w:color="000000"/>
              <w:right w:val="nil"/>
            </w:tcBorders>
            <w:shd w:val="clear" w:color="auto" w:fill="FFFFFF"/>
            <w:vAlign w:val="bottom"/>
          </w:tcPr>
          <w:p w14:paraId="31B7B225" w14:textId="77777777" w:rsidR="00632A6A" w:rsidRDefault="004553F6">
            <w:pPr>
              <w:jc w:val="center"/>
              <w:rPr>
                <w:color w:val="000000"/>
                <w:sz w:val="22"/>
                <w:szCs w:val="22"/>
              </w:rPr>
            </w:pPr>
            <w:r>
              <w:rPr>
                <w:color w:val="000000"/>
                <w:sz w:val="22"/>
                <w:szCs w:val="22"/>
              </w:rPr>
              <w:t>MYPES informales</w:t>
            </w:r>
          </w:p>
        </w:tc>
        <w:tc>
          <w:tcPr>
            <w:tcW w:w="2696" w:type="dxa"/>
            <w:vMerge w:val="restart"/>
            <w:tcBorders>
              <w:top w:val="single" w:sz="4" w:space="0" w:color="000000"/>
              <w:left w:val="nil"/>
              <w:bottom w:val="nil"/>
              <w:right w:val="nil"/>
            </w:tcBorders>
            <w:shd w:val="clear" w:color="auto" w:fill="FFFFFF"/>
            <w:vAlign w:val="center"/>
          </w:tcPr>
          <w:p w14:paraId="6F3A0C95" w14:textId="77777777" w:rsidR="00632A6A" w:rsidRDefault="004553F6">
            <w:pPr>
              <w:jc w:val="center"/>
              <w:rPr>
                <w:color w:val="000000"/>
                <w:sz w:val="22"/>
                <w:szCs w:val="22"/>
              </w:rPr>
            </w:pPr>
            <w:r>
              <w:rPr>
                <w:color w:val="000000"/>
                <w:sz w:val="22"/>
                <w:szCs w:val="22"/>
              </w:rPr>
              <w:t>Total de MYPES</w:t>
            </w:r>
          </w:p>
        </w:tc>
      </w:tr>
      <w:tr w:rsidR="00632A6A" w14:paraId="6F973029" w14:textId="77777777">
        <w:trPr>
          <w:trHeight w:val="312"/>
        </w:trPr>
        <w:tc>
          <w:tcPr>
            <w:tcW w:w="1240" w:type="dxa"/>
            <w:vMerge/>
            <w:tcBorders>
              <w:top w:val="single" w:sz="4" w:space="0" w:color="000000"/>
              <w:left w:val="nil"/>
              <w:bottom w:val="nil"/>
              <w:right w:val="nil"/>
            </w:tcBorders>
            <w:shd w:val="clear" w:color="auto" w:fill="FFFFFF"/>
            <w:vAlign w:val="center"/>
          </w:tcPr>
          <w:p w14:paraId="5483D07D" w14:textId="77777777" w:rsidR="00632A6A" w:rsidRDefault="00632A6A">
            <w:pPr>
              <w:widowControl w:val="0"/>
              <w:pBdr>
                <w:top w:val="nil"/>
                <w:left w:val="nil"/>
                <w:bottom w:val="nil"/>
                <w:right w:val="nil"/>
                <w:between w:val="nil"/>
              </w:pBdr>
              <w:spacing w:line="276" w:lineRule="auto"/>
              <w:rPr>
                <w:color w:val="000000"/>
                <w:sz w:val="22"/>
                <w:szCs w:val="22"/>
              </w:rPr>
            </w:pPr>
          </w:p>
        </w:tc>
        <w:tc>
          <w:tcPr>
            <w:tcW w:w="1521" w:type="dxa"/>
            <w:tcBorders>
              <w:top w:val="nil"/>
              <w:left w:val="nil"/>
              <w:bottom w:val="nil"/>
              <w:right w:val="nil"/>
            </w:tcBorders>
            <w:shd w:val="clear" w:color="auto" w:fill="FFFFFF"/>
            <w:vAlign w:val="bottom"/>
          </w:tcPr>
          <w:p w14:paraId="5FE24072" w14:textId="77777777" w:rsidR="00632A6A" w:rsidRDefault="004553F6">
            <w:pPr>
              <w:jc w:val="center"/>
              <w:rPr>
                <w:color w:val="000000"/>
                <w:sz w:val="22"/>
                <w:szCs w:val="22"/>
              </w:rPr>
            </w:pPr>
            <w:r>
              <w:rPr>
                <w:color w:val="000000"/>
                <w:sz w:val="22"/>
                <w:szCs w:val="22"/>
              </w:rPr>
              <w:t>Cantidad</w:t>
            </w:r>
          </w:p>
        </w:tc>
        <w:tc>
          <w:tcPr>
            <w:tcW w:w="1419" w:type="dxa"/>
            <w:tcBorders>
              <w:top w:val="nil"/>
              <w:left w:val="nil"/>
              <w:bottom w:val="single" w:sz="4" w:space="0" w:color="000000"/>
              <w:right w:val="nil"/>
            </w:tcBorders>
            <w:shd w:val="clear" w:color="auto" w:fill="FFFFFF"/>
            <w:vAlign w:val="bottom"/>
          </w:tcPr>
          <w:p w14:paraId="05CF4AFB" w14:textId="77777777" w:rsidR="00632A6A" w:rsidRDefault="004553F6">
            <w:pPr>
              <w:jc w:val="center"/>
              <w:rPr>
                <w:color w:val="000000"/>
                <w:sz w:val="22"/>
                <w:szCs w:val="22"/>
              </w:rPr>
            </w:pPr>
            <w:r>
              <w:rPr>
                <w:color w:val="000000"/>
                <w:sz w:val="22"/>
                <w:szCs w:val="22"/>
              </w:rPr>
              <w:t>%</w:t>
            </w:r>
          </w:p>
        </w:tc>
        <w:tc>
          <w:tcPr>
            <w:tcW w:w="1283" w:type="dxa"/>
            <w:tcBorders>
              <w:top w:val="nil"/>
              <w:left w:val="nil"/>
              <w:bottom w:val="single" w:sz="4" w:space="0" w:color="000000"/>
              <w:right w:val="nil"/>
            </w:tcBorders>
            <w:shd w:val="clear" w:color="auto" w:fill="FFFFFF"/>
            <w:vAlign w:val="bottom"/>
          </w:tcPr>
          <w:p w14:paraId="7C7C326E" w14:textId="77777777" w:rsidR="00632A6A" w:rsidRDefault="004553F6">
            <w:pPr>
              <w:jc w:val="center"/>
              <w:rPr>
                <w:color w:val="000000"/>
                <w:sz w:val="22"/>
                <w:szCs w:val="22"/>
              </w:rPr>
            </w:pPr>
            <w:r>
              <w:rPr>
                <w:color w:val="000000"/>
                <w:sz w:val="22"/>
                <w:szCs w:val="22"/>
              </w:rPr>
              <w:t>Cantidad</w:t>
            </w:r>
          </w:p>
        </w:tc>
        <w:tc>
          <w:tcPr>
            <w:tcW w:w="1197" w:type="dxa"/>
            <w:tcBorders>
              <w:top w:val="nil"/>
              <w:left w:val="nil"/>
              <w:bottom w:val="single" w:sz="4" w:space="0" w:color="000000"/>
              <w:right w:val="nil"/>
            </w:tcBorders>
            <w:shd w:val="clear" w:color="auto" w:fill="FFFFFF"/>
            <w:vAlign w:val="bottom"/>
          </w:tcPr>
          <w:p w14:paraId="43A7AF74" w14:textId="77777777" w:rsidR="00632A6A" w:rsidRDefault="004553F6">
            <w:pPr>
              <w:jc w:val="center"/>
              <w:rPr>
                <w:color w:val="000000"/>
                <w:sz w:val="22"/>
                <w:szCs w:val="22"/>
              </w:rPr>
            </w:pPr>
            <w:r>
              <w:rPr>
                <w:color w:val="000000"/>
                <w:sz w:val="22"/>
                <w:szCs w:val="22"/>
              </w:rPr>
              <w:t>%</w:t>
            </w:r>
          </w:p>
        </w:tc>
        <w:tc>
          <w:tcPr>
            <w:tcW w:w="2696" w:type="dxa"/>
            <w:vMerge/>
            <w:tcBorders>
              <w:top w:val="single" w:sz="4" w:space="0" w:color="000000"/>
              <w:left w:val="nil"/>
              <w:bottom w:val="nil"/>
              <w:right w:val="nil"/>
            </w:tcBorders>
            <w:shd w:val="clear" w:color="auto" w:fill="FFFFFF"/>
            <w:vAlign w:val="center"/>
          </w:tcPr>
          <w:p w14:paraId="1302DAF9" w14:textId="77777777" w:rsidR="00632A6A" w:rsidRDefault="00632A6A">
            <w:pPr>
              <w:widowControl w:val="0"/>
              <w:pBdr>
                <w:top w:val="nil"/>
                <w:left w:val="nil"/>
                <w:bottom w:val="nil"/>
                <w:right w:val="nil"/>
                <w:between w:val="nil"/>
              </w:pBdr>
              <w:spacing w:line="276" w:lineRule="auto"/>
              <w:rPr>
                <w:color w:val="000000"/>
                <w:sz w:val="22"/>
                <w:szCs w:val="22"/>
              </w:rPr>
            </w:pPr>
          </w:p>
        </w:tc>
      </w:tr>
      <w:tr w:rsidR="00632A6A" w14:paraId="1E2B9AD7" w14:textId="77777777">
        <w:trPr>
          <w:trHeight w:val="312"/>
        </w:trPr>
        <w:tc>
          <w:tcPr>
            <w:tcW w:w="1240" w:type="dxa"/>
            <w:tcBorders>
              <w:top w:val="single" w:sz="4" w:space="0" w:color="000000"/>
              <w:left w:val="nil"/>
              <w:bottom w:val="nil"/>
              <w:right w:val="nil"/>
            </w:tcBorders>
            <w:shd w:val="clear" w:color="auto" w:fill="FFFFFF"/>
            <w:vAlign w:val="center"/>
          </w:tcPr>
          <w:p w14:paraId="161F8D75" w14:textId="77777777" w:rsidR="00632A6A" w:rsidRDefault="004553F6">
            <w:pPr>
              <w:jc w:val="center"/>
              <w:rPr>
                <w:color w:val="000000"/>
                <w:sz w:val="24"/>
                <w:szCs w:val="24"/>
              </w:rPr>
            </w:pPr>
            <w:r>
              <w:rPr>
                <w:color w:val="000000"/>
                <w:sz w:val="24"/>
                <w:szCs w:val="24"/>
              </w:rPr>
              <w:t>2012</w:t>
            </w:r>
          </w:p>
        </w:tc>
        <w:tc>
          <w:tcPr>
            <w:tcW w:w="1521" w:type="dxa"/>
            <w:tcBorders>
              <w:top w:val="single" w:sz="4" w:space="0" w:color="000000"/>
              <w:left w:val="nil"/>
              <w:bottom w:val="nil"/>
              <w:right w:val="nil"/>
            </w:tcBorders>
            <w:shd w:val="clear" w:color="auto" w:fill="FFFFFF"/>
            <w:vAlign w:val="center"/>
          </w:tcPr>
          <w:p w14:paraId="53827F05" w14:textId="77777777" w:rsidR="00632A6A" w:rsidRDefault="004553F6">
            <w:pPr>
              <w:jc w:val="center"/>
              <w:rPr>
                <w:color w:val="000000"/>
                <w:sz w:val="24"/>
                <w:szCs w:val="24"/>
              </w:rPr>
            </w:pPr>
            <w:r>
              <w:rPr>
                <w:color w:val="000000"/>
                <w:sz w:val="24"/>
                <w:szCs w:val="24"/>
              </w:rPr>
              <w:t>53078</w:t>
            </w:r>
          </w:p>
        </w:tc>
        <w:tc>
          <w:tcPr>
            <w:tcW w:w="1419" w:type="dxa"/>
            <w:tcBorders>
              <w:top w:val="nil"/>
              <w:left w:val="nil"/>
              <w:bottom w:val="nil"/>
              <w:right w:val="nil"/>
            </w:tcBorders>
            <w:shd w:val="clear" w:color="auto" w:fill="FFFFFF"/>
            <w:vAlign w:val="center"/>
          </w:tcPr>
          <w:p w14:paraId="504FC186" w14:textId="77777777" w:rsidR="00632A6A" w:rsidRDefault="004553F6">
            <w:pPr>
              <w:jc w:val="center"/>
              <w:rPr>
                <w:color w:val="000000"/>
                <w:sz w:val="24"/>
                <w:szCs w:val="24"/>
              </w:rPr>
            </w:pPr>
            <w:r>
              <w:rPr>
                <w:color w:val="000000"/>
                <w:sz w:val="24"/>
                <w:szCs w:val="24"/>
              </w:rPr>
              <w:t>67.70%</w:t>
            </w:r>
          </w:p>
        </w:tc>
        <w:tc>
          <w:tcPr>
            <w:tcW w:w="1283" w:type="dxa"/>
            <w:tcBorders>
              <w:top w:val="nil"/>
              <w:left w:val="nil"/>
              <w:bottom w:val="nil"/>
              <w:right w:val="nil"/>
            </w:tcBorders>
            <w:shd w:val="clear" w:color="auto" w:fill="FFFFFF"/>
            <w:vAlign w:val="center"/>
          </w:tcPr>
          <w:p w14:paraId="1EC0224D" w14:textId="77777777" w:rsidR="00632A6A" w:rsidRDefault="004553F6">
            <w:pPr>
              <w:jc w:val="center"/>
              <w:rPr>
                <w:color w:val="000000"/>
                <w:sz w:val="24"/>
                <w:szCs w:val="24"/>
              </w:rPr>
            </w:pPr>
            <w:r>
              <w:rPr>
                <w:color w:val="000000"/>
                <w:sz w:val="24"/>
                <w:szCs w:val="24"/>
              </w:rPr>
              <w:t>25295</w:t>
            </w:r>
          </w:p>
        </w:tc>
        <w:tc>
          <w:tcPr>
            <w:tcW w:w="1197" w:type="dxa"/>
            <w:tcBorders>
              <w:top w:val="nil"/>
              <w:left w:val="nil"/>
              <w:bottom w:val="nil"/>
              <w:right w:val="nil"/>
            </w:tcBorders>
            <w:shd w:val="clear" w:color="auto" w:fill="FFFFFF"/>
            <w:vAlign w:val="center"/>
          </w:tcPr>
          <w:p w14:paraId="4BF097AC" w14:textId="77777777" w:rsidR="00632A6A" w:rsidRDefault="004553F6">
            <w:pPr>
              <w:jc w:val="center"/>
              <w:rPr>
                <w:color w:val="000000"/>
                <w:sz w:val="24"/>
                <w:szCs w:val="24"/>
              </w:rPr>
            </w:pPr>
            <w:r>
              <w:rPr>
                <w:color w:val="000000"/>
                <w:sz w:val="24"/>
                <w:szCs w:val="24"/>
              </w:rPr>
              <w:t>32.28%</w:t>
            </w:r>
          </w:p>
        </w:tc>
        <w:tc>
          <w:tcPr>
            <w:tcW w:w="2696" w:type="dxa"/>
            <w:tcBorders>
              <w:top w:val="single" w:sz="4" w:space="0" w:color="000000"/>
              <w:left w:val="nil"/>
              <w:bottom w:val="nil"/>
              <w:right w:val="nil"/>
            </w:tcBorders>
            <w:shd w:val="clear" w:color="auto" w:fill="auto"/>
            <w:vAlign w:val="bottom"/>
          </w:tcPr>
          <w:p w14:paraId="67F7880F" w14:textId="77777777" w:rsidR="00632A6A" w:rsidRDefault="004553F6">
            <w:pPr>
              <w:jc w:val="center"/>
              <w:rPr>
                <w:color w:val="000000"/>
                <w:sz w:val="22"/>
                <w:szCs w:val="22"/>
              </w:rPr>
            </w:pPr>
            <w:r>
              <w:rPr>
                <w:color w:val="000000"/>
                <w:sz w:val="22"/>
                <w:szCs w:val="22"/>
              </w:rPr>
              <w:t>78373</w:t>
            </w:r>
          </w:p>
        </w:tc>
      </w:tr>
      <w:tr w:rsidR="00632A6A" w14:paraId="3E954575" w14:textId="77777777">
        <w:trPr>
          <w:trHeight w:val="312"/>
        </w:trPr>
        <w:tc>
          <w:tcPr>
            <w:tcW w:w="1240" w:type="dxa"/>
            <w:tcBorders>
              <w:top w:val="nil"/>
              <w:left w:val="nil"/>
              <w:bottom w:val="nil"/>
              <w:right w:val="nil"/>
            </w:tcBorders>
            <w:shd w:val="clear" w:color="auto" w:fill="FFFFFF"/>
            <w:vAlign w:val="center"/>
          </w:tcPr>
          <w:p w14:paraId="09DFF975" w14:textId="77777777" w:rsidR="00632A6A" w:rsidRDefault="004553F6">
            <w:pPr>
              <w:jc w:val="center"/>
              <w:rPr>
                <w:color w:val="000000"/>
                <w:sz w:val="24"/>
                <w:szCs w:val="24"/>
              </w:rPr>
            </w:pPr>
            <w:r>
              <w:rPr>
                <w:color w:val="000000"/>
                <w:sz w:val="24"/>
                <w:szCs w:val="24"/>
              </w:rPr>
              <w:t>2013</w:t>
            </w:r>
          </w:p>
        </w:tc>
        <w:tc>
          <w:tcPr>
            <w:tcW w:w="1521" w:type="dxa"/>
            <w:tcBorders>
              <w:top w:val="nil"/>
              <w:left w:val="nil"/>
              <w:bottom w:val="nil"/>
              <w:right w:val="nil"/>
            </w:tcBorders>
            <w:shd w:val="clear" w:color="auto" w:fill="FFFFFF"/>
            <w:vAlign w:val="center"/>
          </w:tcPr>
          <w:p w14:paraId="7071BEB0" w14:textId="77777777" w:rsidR="00632A6A" w:rsidRDefault="004553F6">
            <w:pPr>
              <w:jc w:val="center"/>
              <w:rPr>
                <w:color w:val="000000"/>
                <w:sz w:val="24"/>
                <w:szCs w:val="24"/>
              </w:rPr>
            </w:pPr>
            <w:r>
              <w:rPr>
                <w:color w:val="000000"/>
                <w:sz w:val="24"/>
                <w:szCs w:val="24"/>
              </w:rPr>
              <w:t>63857</w:t>
            </w:r>
          </w:p>
        </w:tc>
        <w:tc>
          <w:tcPr>
            <w:tcW w:w="1419" w:type="dxa"/>
            <w:tcBorders>
              <w:top w:val="nil"/>
              <w:left w:val="nil"/>
              <w:bottom w:val="nil"/>
              <w:right w:val="nil"/>
            </w:tcBorders>
            <w:shd w:val="clear" w:color="auto" w:fill="FFFFFF"/>
            <w:vAlign w:val="center"/>
          </w:tcPr>
          <w:p w14:paraId="56AD6730" w14:textId="77777777" w:rsidR="00632A6A" w:rsidRDefault="004553F6">
            <w:pPr>
              <w:jc w:val="center"/>
              <w:rPr>
                <w:color w:val="000000"/>
                <w:sz w:val="24"/>
                <w:szCs w:val="24"/>
              </w:rPr>
            </w:pPr>
            <w:r>
              <w:rPr>
                <w:color w:val="000000"/>
                <w:sz w:val="24"/>
                <w:szCs w:val="24"/>
              </w:rPr>
              <w:t>79.40%</w:t>
            </w:r>
          </w:p>
        </w:tc>
        <w:tc>
          <w:tcPr>
            <w:tcW w:w="1283" w:type="dxa"/>
            <w:tcBorders>
              <w:top w:val="nil"/>
              <w:left w:val="nil"/>
              <w:bottom w:val="nil"/>
              <w:right w:val="nil"/>
            </w:tcBorders>
            <w:shd w:val="clear" w:color="auto" w:fill="FFFFFF"/>
            <w:vAlign w:val="center"/>
          </w:tcPr>
          <w:p w14:paraId="555C8303" w14:textId="77777777" w:rsidR="00632A6A" w:rsidRDefault="004553F6">
            <w:pPr>
              <w:jc w:val="center"/>
              <w:rPr>
                <w:color w:val="000000"/>
                <w:sz w:val="24"/>
                <w:szCs w:val="24"/>
              </w:rPr>
            </w:pPr>
            <w:r>
              <w:rPr>
                <w:color w:val="000000"/>
                <w:sz w:val="24"/>
                <w:szCs w:val="24"/>
              </w:rPr>
              <w:t>16532</w:t>
            </w:r>
          </w:p>
        </w:tc>
        <w:tc>
          <w:tcPr>
            <w:tcW w:w="1197" w:type="dxa"/>
            <w:tcBorders>
              <w:top w:val="nil"/>
              <w:left w:val="nil"/>
              <w:bottom w:val="nil"/>
              <w:right w:val="nil"/>
            </w:tcBorders>
            <w:shd w:val="clear" w:color="auto" w:fill="FFFFFF"/>
            <w:vAlign w:val="center"/>
          </w:tcPr>
          <w:p w14:paraId="591AFD7A" w14:textId="77777777" w:rsidR="00632A6A" w:rsidRDefault="004553F6">
            <w:pPr>
              <w:jc w:val="center"/>
              <w:rPr>
                <w:color w:val="000000"/>
                <w:sz w:val="24"/>
                <w:szCs w:val="24"/>
              </w:rPr>
            </w:pPr>
            <w:r>
              <w:rPr>
                <w:color w:val="000000"/>
                <w:sz w:val="24"/>
                <w:szCs w:val="24"/>
              </w:rPr>
              <w:t>20.57%</w:t>
            </w:r>
          </w:p>
        </w:tc>
        <w:tc>
          <w:tcPr>
            <w:tcW w:w="2696" w:type="dxa"/>
            <w:tcBorders>
              <w:top w:val="nil"/>
              <w:left w:val="nil"/>
              <w:bottom w:val="nil"/>
              <w:right w:val="nil"/>
            </w:tcBorders>
            <w:shd w:val="clear" w:color="auto" w:fill="auto"/>
            <w:vAlign w:val="bottom"/>
          </w:tcPr>
          <w:p w14:paraId="7B7B2708" w14:textId="77777777" w:rsidR="00632A6A" w:rsidRDefault="004553F6">
            <w:pPr>
              <w:jc w:val="center"/>
              <w:rPr>
                <w:color w:val="000000"/>
                <w:sz w:val="22"/>
                <w:szCs w:val="22"/>
              </w:rPr>
            </w:pPr>
            <w:r>
              <w:rPr>
                <w:color w:val="000000"/>
                <w:sz w:val="22"/>
                <w:szCs w:val="22"/>
              </w:rPr>
              <w:t>80389</w:t>
            </w:r>
          </w:p>
        </w:tc>
      </w:tr>
      <w:tr w:rsidR="00632A6A" w14:paraId="2A817D0D" w14:textId="77777777">
        <w:trPr>
          <w:trHeight w:val="312"/>
        </w:trPr>
        <w:tc>
          <w:tcPr>
            <w:tcW w:w="1240" w:type="dxa"/>
            <w:tcBorders>
              <w:top w:val="nil"/>
              <w:left w:val="nil"/>
              <w:bottom w:val="nil"/>
              <w:right w:val="nil"/>
            </w:tcBorders>
            <w:shd w:val="clear" w:color="auto" w:fill="FFFFFF"/>
            <w:vAlign w:val="center"/>
          </w:tcPr>
          <w:p w14:paraId="7F96748A" w14:textId="77777777" w:rsidR="00632A6A" w:rsidRDefault="004553F6">
            <w:pPr>
              <w:jc w:val="center"/>
              <w:rPr>
                <w:color w:val="000000"/>
                <w:sz w:val="24"/>
                <w:szCs w:val="24"/>
              </w:rPr>
            </w:pPr>
            <w:r>
              <w:rPr>
                <w:color w:val="000000"/>
                <w:sz w:val="24"/>
                <w:szCs w:val="24"/>
              </w:rPr>
              <w:t>2014</w:t>
            </w:r>
          </w:p>
        </w:tc>
        <w:tc>
          <w:tcPr>
            <w:tcW w:w="1521" w:type="dxa"/>
            <w:tcBorders>
              <w:top w:val="nil"/>
              <w:left w:val="nil"/>
              <w:bottom w:val="nil"/>
              <w:right w:val="nil"/>
            </w:tcBorders>
            <w:shd w:val="clear" w:color="auto" w:fill="FFFFFF"/>
            <w:vAlign w:val="center"/>
          </w:tcPr>
          <w:p w14:paraId="4A01C692" w14:textId="77777777" w:rsidR="00632A6A" w:rsidRDefault="004553F6">
            <w:pPr>
              <w:jc w:val="center"/>
              <w:rPr>
                <w:color w:val="000000"/>
                <w:sz w:val="24"/>
                <w:szCs w:val="24"/>
              </w:rPr>
            </w:pPr>
            <w:r>
              <w:rPr>
                <w:color w:val="000000"/>
                <w:sz w:val="24"/>
                <w:szCs w:val="24"/>
              </w:rPr>
              <w:t>62764</w:t>
            </w:r>
          </w:p>
        </w:tc>
        <w:tc>
          <w:tcPr>
            <w:tcW w:w="1419" w:type="dxa"/>
            <w:tcBorders>
              <w:top w:val="nil"/>
              <w:left w:val="nil"/>
              <w:bottom w:val="nil"/>
              <w:right w:val="nil"/>
            </w:tcBorders>
            <w:shd w:val="clear" w:color="auto" w:fill="FFFFFF"/>
            <w:vAlign w:val="center"/>
          </w:tcPr>
          <w:p w14:paraId="412BB35E" w14:textId="77777777" w:rsidR="00632A6A" w:rsidRDefault="004553F6">
            <w:pPr>
              <w:jc w:val="center"/>
              <w:rPr>
                <w:color w:val="000000"/>
                <w:sz w:val="24"/>
                <w:szCs w:val="24"/>
              </w:rPr>
            </w:pPr>
            <w:r>
              <w:rPr>
                <w:color w:val="000000"/>
                <w:sz w:val="24"/>
                <w:szCs w:val="24"/>
              </w:rPr>
              <w:t>76.10%</w:t>
            </w:r>
          </w:p>
        </w:tc>
        <w:tc>
          <w:tcPr>
            <w:tcW w:w="1283" w:type="dxa"/>
            <w:tcBorders>
              <w:top w:val="nil"/>
              <w:left w:val="nil"/>
              <w:bottom w:val="nil"/>
              <w:right w:val="nil"/>
            </w:tcBorders>
            <w:shd w:val="clear" w:color="auto" w:fill="FFFFFF"/>
            <w:vAlign w:val="center"/>
          </w:tcPr>
          <w:p w14:paraId="448CFF4E" w14:textId="77777777" w:rsidR="00632A6A" w:rsidRDefault="004553F6">
            <w:pPr>
              <w:jc w:val="center"/>
              <w:rPr>
                <w:color w:val="000000"/>
                <w:sz w:val="24"/>
                <w:szCs w:val="24"/>
              </w:rPr>
            </w:pPr>
            <w:r>
              <w:rPr>
                <w:color w:val="000000"/>
                <w:sz w:val="24"/>
                <w:szCs w:val="24"/>
              </w:rPr>
              <w:t>19674</w:t>
            </w:r>
          </w:p>
        </w:tc>
        <w:tc>
          <w:tcPr>
            <w:tcW w:w="1197" w:type="dxa"/>
            <w:tcBorders>
              <w:top w:val="nil"/>
              <w:left w:val="nil"/>
              <w:bottom w:val="nil"/>
              <w:right w:val="nil"/>
            </w:tcBorders>
            <w:shd w:val="clear" w:color="auto" w:fill="FFFFFF"/>
            <w:vAlign w:val="center"/>
          </w:tcPr>
          <w:p w14:paraId="702B2B39" w14:textId="77777777" w:rsidR="00632A6A" w:rsidRDefault="004553F6">
            <w:pPr>
              <w:jc w:val="center"/>
              <w:rPr>
                <w:color w:val="000000"/>
                <w:sz w:val="24"/>
                <w:szCs w:val="24"/>
              </w:rPr>
            </w:pPr>
            <w:r>
              <w:rPr>
                <w:color w:val="000000"/>
                <w:sz w:val="24"/>
                <w:szCs w:val="24"/>
              </w:rPr>
              <w:t>23.87%</w:t>
            </w:r>
          </w:p>
        </w:tc>
        <w:tc>
          <w:tcPr>
            <w:tcW w:w="2696" w:type="dxa"/>
            <w:tcBorders>
              <w:top w:val="nil"/>
              <w:left w:val="nil"/>
              <w:bottom w:val="nil"/>
              <w:right w:val="nil"/>
            </w:tcBorders>
            <w:shd w:val="clear" w:color="auto" w:fill="auto"/>
            <w:vAlign w:val="bottom"/>
          </w:tcPr>
          <w:p w14:paraId="43262C62" w14:textId="77777777" w:rsidR="00632A6A" w:rsidRDefault="004553F6">
            <w:pPr>
              <w:jc w:val="center"/>
              <w:rPr>
                <w:color w:val="000000"/>
                <w:sz w:val="22"/>
                <w:szCs w:val="22"/>
              </w:rPr>
            </w:pPr>
            <w:r>
              <w:rPr>
                <w:color w:val="000000"/>
                <w:sz w:val="22"/>
                <w:szCs w:val="22"/>
              </w:rPr>
              <w:t>82438</w:t>
            </w:r>
          </w:p>
        </w:tc>
      </w:tr>
      <w:tr w:rsidR="00632A6A" w14:paraId="4962574A" w14:textId="77777777">
        <w:trPr>
          <w:trHeight w:val="312"/>
        </w:trPr>
        <w:tc>
          <w:tcPr>
            <w:tcW w:w="1240" w:type="dxa"/>
            <w:tcBorders>
              <w:top w:val="nil"/>
              <w:left w:val="nil"/>
              <w:bottom w:val="nil"/>
              <w:right w:val="nil"/>
            </w:tcBorders>
            <w:shd w:val="clear" w:color="auto" w:fill="FFFFFF"/>
            <w:vAlign w:val="center"/>
          </w:tcPr>
          <w:p w14:paraId="44A72035" w14:textId="77777777" w:rsidR="00632A6A" w:rsidRDefault="004553F6">
            <w:pPr>
              <w:jc w:val="center"/>
              <w:rPr>
                <w:color w:val="000000"/>
                <w:sz w:val="24"/>
                <w:szCs w:val="24"/>
              </w:rPr>
            </w:pPr>
            <w:r>
              <w:rPr>
                <w:color w:val="000000"/>
                <w:sz w:val="24"/>
                <w:szCs w:val="24"/>
              </w:rPr>
              <w:t>2015</w:t>
            </w:r>
          </w:p>
        </w:tc>
        <w:tc>
          <w:tcPr>
            <w:tcW w:w="1521" w:type="dxa"/>
            <w:tcBorders>
              <w:top w:val="nil"/>
              <w:left w:val="nil"/>
              <w:bottom w:val="nil"/>
              <w:right w:val="nil"/>
            </w:tcBorders>
            <w:shd w:val="clear" w:color="auto" w:fill="FFFFFF"/>
            <w:vAlign w:val="center"/>
          </w:tcPr>
          <w:p w14:paraId="5A8B6BD7" w14:textId="77777777" w:rsidR="00632A6A" w:rsidRDefault="004553F6">
            <w:pPr>
              <w:jc w:val="center"/>
              <w:rPr>
                <w:color w:val="000000"/>
                <w:sz w:val="24"/>
                <w:szCs w:val="24"/>
              </w:rPr>
            </w:pPr>
            <w:r>
              <w:rPr>
                <w:color w:val="000000"/>
                <w:sz w:val="24"/>
                <w:szCs w:val="24"/>
              </w:rPr>
              <w:t>64154</w:t>
            </w:r>
          </w:p>
        </w:tc>
        <w:tc>
          <w:tcPr>
            <w:tcW w:w="1419" w:type="dxa"/>
            <w:tcBorders>
              <w:top w:val="nil"/>
              <w:left w:val="nil"/>
              <w:bottom w:val="nil"/>
              <w:right w:val="nil"/>
            </w:tcBorders>
            <w:shd w:val="clear" w:color="auto" w:fill="FFFFFF"/>
            <w:vAlign w:val="center"/>
          </w:tcPr>
          <w:p w14:paraId="31B50819" w14:textId="77777777" w:rsidR="00632A6A" w:rsidRDefault="004553F6">
            <w:pPr>
              <w:jc w:val="center"/>
              <w:rPr>
                <w:color w:val="000000"/>
                <w:sz w:val="24"/>
                <w:szCs w:val="24"/>
              </w:rPr>
            </w:pPr>
            <w:r>
              <w:rPr>
                <w:color w:val="000000"/>
                <w:sz w:val="24"/>
                <w:szCs w:val="24"/>
              </w:rPr>
              <w:t>76.10%</w:t>
            </w:r>
          </w:p>
        </w:tc>
        <w:tc>
          <w:tcPr>
            <w:tcW w:w="1283" w:type="dxa"/>
            <w:tcBorders>
              <w:top w:val="nil"/>
              <w:left w:val="nil"/>
              <w:bottom w:val="nil"/>
              <w:right w:val="nil"/>
            </w:tcBorders>
            <w:shd w:val="clear" w:color="auto" w:fill="FFFFFF"/>
            <w:vAlign w:val="center"/>
          </w:tcPr>
          <w:p w14:paraId="09047DA1" w14:textId="77777777" w:rsidR="00632A6A" w:rsidRDefault="004553F6">
            <w:pPr>
              <w:jc w:val="center"/>
              <w:rPr>
                <w:color w:val="000000"/>
                <w:sz w:val="24"/>
                <w:szCs w:val="24"/>
              </w:rPr>
            </w:pPr>
            <w:r>
              <w:rPr>
                <w:color w:val="000000"/>
                <w:sz w:val="24"/>
                <w:szCs w:val="24"/>
              </w:rPr>
              <w:t>20131</w:t>
            </w:r>
          </w:p>
        </w:tc>
        <w:tc>
          <w:tcPr>
            <w:tcW w:w="1197" w:type="dxa"/>
            <w:tcBorders>
              <w:top w:val="nil"/>
              <w:left w:val="nil"/>
              <w:bottom w:val="nil"/>
              <w:right w:val="nil"/>
            </w:tcBorders>
            <w:shd w:val="clear" w:color="auto" w:fill="FFFFFF"/>
            <w:vAlign w:val="center"/>
          </w:tcPr>
          <w:p w14:paraId="0C54351A" w14:textId="77777777" w:rsidR="00632A6A" w:rsidRDefault="004553F6">
            <w:pPr>
              <w:jc w:val="center"/>
              <w:rPr>
                <w:color w:val="000000"/>
                <w:sz w:val="24"/>
                <w:szCs w:val="24"/>
              </w:rPr>
            </w:pPr>
            <w:r>
              <w:rPr>
                <w:color w:val="000000"/>
                <w:sz w:val="24"/>
                <w:szCs w:val="24"/>
              </w:rPr>
              <w:t>23.88%</w:t>
            </w:r>
          </w:p>
        </w:tc>
        <w:tc>
          <w:tcPr>
            <w:tcW w:w="2696" w:type="dxa"/>
            <w:tcBorders>
              <w:top w:val="nil"/>
              <w:left w:val="nil"/>
              <w:bottom w:val="nil"/>
              <w:right w:val="nil"/>
            </w:tcBorders>
            <w:shd w:val="clear" w:color="auto" w:fill="auto"/>
            <w:vAlign w:val="bottom"/>
          </w:tcPr>
          <w:p w14:paraId="1585CEFC" w14:textId="77777777" w:rsidR="00632A6A" w:rsidRDefault="004553F6">
            <w:pPr>
              <w:jc w:val="center"/>
              <w:rPr>
                <w:color w:val="000000"/>
                <w:sz w:val="22"/>
                <w:szCs w:val="22"/>
              </w:rPr>
            </w:pPr>
            <w:r>
              <w:rPr>
                <w:color w:val="000000"/>
                <w:sz w:val="22"/>
                <w:szCs w:val="22"/>
              </w:rPr>
              <w:t>84285</w:t>
            </w:r>
          </w:p>
        </w:tc>
      </w:tr>
      <w:tr w:rsidR="00632A6A" w14:paraId="5928E35D" w14:textId="77777777">
        <w:trPr>
          <w:trHeight w:val="312"/>
        </w:trPr>
        <w:tc>
          <w:tcPr>
            <w:tcW w:w="1240" w:type="dxa"/>
            <w:tcBorders>
              <w:top w:val="nil"/>
              <w:left w:val="nil"/>
              <w:bottom w:val="nil"/>
              <w:right w:val="nil"/>
            </w:tcBorders>
            <w:shd w:val="clear" w:color="auto" w:fill="FFFFFF"/>
            <w:vAlign w:val="center"/>
          </w:tcPr>
          <w:p w14:paraId="5CBB7F22" w14:textId="77777777" w:rsidR="00632A6A" w:rsidRDefault="004553F6">
            <w:pPr>
              <w:jc w:val="center"/>
              <w:rPr>
                <w:color w:val="000000"/>
                <w:sz w:val="24"/>
                <w:szCs w:val="24"/>
              </w:rPr>
            </w:pPr>
            <w:r>
              <w:rPr>
                <w:color w:val="000000"/>
                <w:sz w:val="24"/>
                <w:szCs w:val="24"/>
              </w:rPr>
              <w:t>2016</w:t>
            </w:r>
          </w:p>
        </w:tc>
        <w:tc>
          <w:tcPr>
            <w:tcW w:w="1521" w:type="dxa"/>
            <w:tcBorders>
              <w:top w:val="nil"/>
              <w:left w:val="nil"/>
              <w:bottom w:val="nil"/>
              <w:right w:val="nil"/>
            </w:tcBorders>
            <w:shd w:val="clear" w:color="auto" w:fill="FFFFFF"/>
            <w:vAlign w:val="center"/>
          </w:tcPr>
          <w:p w14:paraId="20091F9C" w14:textId="77777777" w:rsidR="00632A6A" w:rsidRDefault="004553F6">
            <w:pPr>
              <w:jc w:val="center"/>
              <w:rPr>
                <w:color w:val="000000"/>
                <w:sz w:val="24"/>
                <w:szCs w:val="24"/>
              </w:rPr>
            </w:pPr>
            <w:r>
              <w:rPr>
                <w:color w:val="000000"/>
                <w:sz w:val="24"/>
                <w:szCs w:val="24"/>
              </w:rPr>
              <w:t>64268</w:t>
            </w:r>
          </w:p>
        </w:tc>
        <w:tc>
          <w:tcPr>
            <w:tcW w:w="1419" w:type="dxa"/>
            <w:tcBorders>
              <w:top w:val="nil"/>
              <w:left w:val="nil"/>
              <w:bottom w:val="nil"/>
              <w:right w:val="nil"/>
            </w:tcBorders>
            <w:shd w:val="clear" w:color="auto" w:fill="FFFFFF"/>
            <w:vAlign w:val="center"/>
          </w:tcPr>
          <w:p w14:paraId="190E5880" w14:textId="77777777" w:rsidR="00632A6A" w:rsidRDefault="004553F6">
            <w:pPr>
              <w:jc w:val="center"/>
              <w:rPr>
                <w:color w:val="000000"/>
                <w:sz w:val="24"/>
                <w:szCs w:val="24"/>
              </w:rPr>
            </w:pPr>
            <w:r>
              <w:rPr>
                <w:color w:val="000000"/>
                <w:sz w:val="24"/>
                <w:szCs w:val="24"/>
              </w:rPr>
              <w:t>73.90%</w:t>
            </w:r>
          </w:p>
        </w:tc>
        <w:tc>
          <w:tcPr>
            <w:tcW w:w="1283" w:type="dxa"/>
            <w:tcBorders>
              <w:top w:val="nil"/>
              <w:left w:val="nil"/>
              <w:bottom w:val="nil"/>
              <w:right w:val="nil"/>
            </w:tcBorders>
            <w:shd w:val="clear" w:color="auto" w:fill="FFFFFF"/>
            <w:vAlign w:val="center"/>
          </w:tcPr>
          <w:p w14:paraId="5665DC26" w14:textId="77777777" w:rsidR="00632A6A" w:rsidRDefault="004553F6">
            <w:pPr>
              <w:jc w:val="center"/>
              <w:rPr>
                <w:color w:val="000000"/>
                <w:sz w:val="24"/>
                <w:szCs w:val="24"/>
              </w:rPr>
            </w:pPr>
            <w:r>
              <w:rPr>
                <w:color w:val="000000"/>
                <w:sz w:val="24"/>
                <w:szCs w:val="24"/>
              </w:rPr>
              <w:t>22757</w:t>
            </w:r>
          </w:p>
        </w:tc>
        <w:tc>
          <w:tcPr>
            <w:tcW w:w="1197" w:type="dxa"/>
            <w:tcBorders>
              <w:top w:val="nil"/>
              <w:left w:val="nil"/>
              <w:bottom w:val="nil"/>
              <w:right w:val="nil"/>
            </w:tcBorders>
            <w:shd w:val="clear" w:color="auto" w:fill="FFFFFF"/>
            <w:vAlign w:val="center"/>
          </w:tcPr>
          <w:p w14:paraId="1CBB79BF" w14:textId="77777777" w:rsidR="00632A6A" w:rsidRDefault="004553F6">
            <w:pPr>
              <w:jc w:val="center"/>
              <w:rPr>
                <w:color w:val="000000"/>
                <w:sz w:val="24"/>
                <w:szCs w:val="24"/>
              </w:rPr>
            </w:pPr>
            <w:r>
              <w:rPr>
                <w:color w:val="000000"/>
                <w:sz w:val="24"/>
                <w:szCs w:val="24"/>
              </w:rPr>
              <w:t>26.15%</w:t>
            </w:r>
          </w:p>
        </w:tc>
        <w:tc>
          <w:tcPr>
            <w:tcW w:w="2696" w:type="dxa"/>
            <w:tcBorders>
              <w:top w:val="nil"/>
              <w:left w:val="nil"/>
              <w:bottom w:val="nil"/>
              <w:right w:val="nil"/>
            </w:tcBorders>
            <w:shd w:val="clear" w:color="auto" w:fill="auto"/>
            <w:vAlign w:val="bottom"/>
          </w:tcPr>
          <w:p w14:paraId="5F3A42FE" w14:textId="77777777" w:rsidR="00632A6A" w:rsidRDefault="004553F6">
            <w:pPr>
              <w:jc w:val="center"/>
              <w:rPr>
                <w:color w:val="000000"/>
                <w:sz w:val="22"/>
                <w:szCs w:val="22"/>
              </w:rPr>
            </w:pPr>
            <w:r>
              <w:rPr>
                <w:color w:val="000000"/>
                <w:sz w:val="22"/>
                <w:szCs w:val="22"/>
              </w:rPr>
              <w:t>87025</w:t>
            </w:r>
          </w:p>
        </w:tc>
      </w:tr>
      <w:tr w:rsidR="00632A6A" w14:paraId="142BB5F6" w14:textId="77777777">
        <w:trPr>
          <w:trHeight w:val="312"/>
        </w:trPr>
        <w:tc>
          <w:tcPr>
            <w:tcW w:w="1240" w:type="dxa"/>
            <w:tcBorders>
              <w:top w:val="nil"/>
              <w:left w:val="nil"/>
              <w:bottom w:val="nil"/>
              <w:right w:val="nil"/>
            </w:tcBorders>
            <w:shd w:val="clear" w:color="auto" w:fill="FFFFFF"/>
            <w:vAlign w:val="center"/>
          </w:tcPr>
          <w:p w14:paraId="10A73F81" w14:textId="77777777" w:rsidR="00632A6A" w:rsidRDefault="004553F6">
            <w:pPr>
              <w:jc w:val="center"/>
              <w:rPr>
                <w:color w:val="000000"/>
                <w:sz w:val="24"/>
                <w:szCs w:val="24"/>
              </w:rPr>
            </w:pPr>
            <w:r>
              <w:rPr>
                <w:color w:val="000000"/>
                <w:sz w:val="24"/>
                <w:szCs w:val="24"/>
              </w:rPr>
              <w:t>2017</w:t>
            </w:r>
          </w:p>
        </w:tc>
        <w:tc>
          <w:tcPr>
            <w:tcW w:w="1521" w:type="dxa"/>
            <w:tcBorders>
              <w:top w:val="nil"/>
              <w:left w:val="nil"/>
              <w:bottom w:val="nil"/>
              <w:right w:val="nil"/>
            </w:tcBorders>
            <w:shd w:val="clear" w:color="auto" w:fill="FFFFFF"/>
            <w:vAlign w:val="center"/>
          </w:tcPr>
          <w:p w14:paraId="7B3BEDBC" w14:textId="77777777" w:rsidR="00632A6A" w:rsidRDefault="004553F6">
            <w:pPr>
              <w:jc w:val="center"/>
              <w:rPr>
                <w:color w:val="000000"/>
                <w:sz w:val="24"/>
                <w:szCs w:val="24"/>
              </w:rPr>
            </w:pPr>
            <w:r>
              <w:rPr>
                <w:color w:val="000000"/>
                <w:sz w:val="24"/>
                <w:szCs w:val="24"/>
              </w:rPr>
              <w:t>66468</w:t>
            </w:r>
          </w:p>
        </w:tc>
        <w:tc>
          <w:tcPr>
            <w:tcW w:w="1419" w:type="dxa"/>
            <w:tcBorders>
              <w:top w:val="nil"/>
              <w:left w:val="nil"/>
              <w:bottom w:val="nil"/>
              <w:right w:val="nil"/>
            </w:tcBorders>
            <w:shd w:val="clear" w:color="auto" w:fill="FFFFFF"/>
            <w:vAlign w:val="center"/>
          </w:tcPr>
          <w:p w14:paraId="451C3624" w14:textId="77777777" w:rsidR="00632A6A" w:rsidRDefault="004553F6">
            <w:pPr>
              <w:jc w:val="center"/>
              <w:rPr>
                <w:color w:val="000000"/>
                <w:sz w:val="24"/>
                <w:szCs w:val="24"/>
              </w:rPr>
            </w:pPr>
            <w:r>
              <w:rPr>
                <w:color w:val="000000"/>
                <w:sz w:val="24"/>
                <w:szCs w:val="24"/>
              </w:rPr>
              <w:t>72.60%</w:t>
            </w:r>
          </w:p>
        </w:tc>
        <w:tc>
          <w:tcPr>
            <w:tcW w:w="1283" w:type="dxa"/>
            <w:tcBorders>
              <w:top w:val="nil"/>
              <w:left w:val="nil"/>
              <w:bottom w:val="nil"/>
              <w:right w:val="nil"/>
            </w:tcBorders>
            <w:shd w:val="clear" w:color="auto" w:fill="FFFFFF"/>
            <w:vAlign w:val="center"/>
          </w:tcPr>
          <w:p w14:paraId="6655CBD5" w14:textId="77777777" w:rsidR="00632A6A" w:rsidRDefault="004553F6">
            <w:pPr>
              <w:jc w:val="center"/>
              <w:rPr>
                <w:color w:val="000000"/>
                <w:sz w:val="24"/>
                <w:szCs w:val="24"/>
              </w:rPr>
            </w:pPr>
            <w:r>
              <w:rPr>
                <w:color w:val="000000"/>
                <w:sz w:val="24"/>
                <w:szCs w:val="24"/>
              </w:rPr>
              <w:t>25065</w:t>
            </w:r>
          </w:p>
        </w:tc>
        <w:tc>
          <w:tcPr>
            <w:tcW w:w="1197" w:type="dxa"/>
            <w:tcBorders>
              <w:top w:val="nil"/>
              <w:left w:val="nil"/>
              <w:bottom w:val="nil"/>
              <w:right w:val="nil"/>
            </w:tcBorders>
            <w:shd w:val="clear" w:color="auto" w:fill="FFFFFF"/>
            <w:vAlign w:val="center"/>
          </w:tcPr>
          <w:p w14:paraId="04799288" w14:textId="77777777" w:rsidR="00632A6A" w:rsidRDefault="004553F6">
            <w:pPr>
              <w:jc w:val="center"/>
              <w:rPr>
                <w:color w:val="000000"/>
                <w:sz w:val="24"/>
                <w:szCs w:val="24"/>
              </w:rPr>
            </w:pPr>
            <w:r>
              <w:rPr>
                <w:color w:val="000000"/>
                <w:sz w:val="24"/>
                <w:szCs w:val="24"/>
              </w:rPr>
              <w:t>27.38%</w:t>
            </w:r>
          </w:p>
        </w:tc>
        <w:tc>
          <w:tcPr>
            <w:tcW w:w="2696" w:type="dxa"/>
            <w:tcBorders>
              <w:top w:val="nil"/>
              <w:left w:val="nil"/>
              <w:bottom w:val="nil"/>
              <w:right w:val="nil"/>
            </w:tcBorders>
            <w:shd w:val="clear" w:color="auto" w:fill="auto"/>
            <w:vAlign w:val="bottom"/>
          </w:tcPr>
          <w:p w14:paraId="46F73150" w14:textId="77777777" w:rsidR="00632A6A" w:rsidRDefault="004553F6">
            <w:pPr>
              <w:jc w:val="center"/>
              <w:rPr>
                <w:color w:val="000000"/>
                <w:sz w:val="22"/>
                <w:szCs w:val="22"/>
              </w:rPr>
            </w:pPr>
            <w:r>
              <w:rPr>
                <w:color w:val="000000"/>
                <w:sz w:val="22"/>
                <w:szCs w:val="22"/>
              </w:rPr>
              <w:t>91533</w:t>
            </w:r>
          </w:p>
        </w:tc>
      </w:tr>
      <w:tr w:rsidR="00632A6A" w14:paraId="0AB76A94" w14:textId="77777777">
        <w:trPr>
          <w:trHeight w:val="312"/>
        </w:trPr>
        <w:tc>
          <w:tcPr>
            <w:tcW w:w="1240" w:type="dxa"/>
            <w:tcBorders>
              <w:top w:val="nil"/>
              <w:left w:val="nil"/>
              <w:bottom w:val="nil"/>
              <w:right w:val="nil"/>
            </w:tcBorders>
            <w:shd w:val="clear" w:color="auto" w:fill="FFFFFF"/>
            <w:vAlign w:val="center"/>
          </w:tcPr>
          <w:p w14:paraId="6BF0676B" w14:textId="77777777" w:rsidR="00632A6A" w:rsidRDefault="004553F6">
            <w:pPr>
              <w:jc w:val="center"/>
              <w:rPr>
                <w:color w:val="000000"/>
                <w:sz w:val="24"/>
                <w:szCs w:val="24"/>
              </w:rPr>
            </w:pPr>
            <w:r>
              <w:rPr>
                <w:color w:val="000000"/>
                <w:sz w:val="24"/>
                <w:szCs w:val="24"/>
              </w:rPr>
              <w:t>2018</w:t>
            </w:r>
          </w:p>
        </w:tc>
        <w:tc>
          <w:tcPr>
            <w:tcW w:w="1521" w:type="dxa"/>
            <w:tcBorders>
              <w:top w:val="nil"/>
              <w:left w:val="nil"/>
              <w:bottom w:val="nil"/>
              <w:right w:val="nil"/>
            </w:tcBorders>
            <w:shd w:val="clear" w:color="auto" w:fill="FFFFFF"/>
            <w:vAlign w:val="center"/>
          </w:tcPr>
          <w:p w14:paraId="00BC77E6" w14:textId="77777777" w:rsidR="00632A6A" w:rsidRDefault="004553F6">
            <w:pPr>
              <w:jc w:val="center"/>
              <w:rPr>
                <w:color w:val="000000"/>
                <w:sz w:val="24"/>
                <w:szCs w:val="24"/>
              </w:rPr>
            </w:pPr>
            <w:r>
              <w:rPr>
                <w:color w:val="000000"/>
                <w:sz w:val="24"/>
                <w:szCs w:val="24"/>
              </w:rPr>
              <w:t>92298</w:t>
            </w:r>
          </w:p>
        </w:tc>
        <w:tc>
          <w:tcPr>
            <w:tcW w:w="1419" w:type="dxa"/>
            <w:tcBorders>
              <w:top w:val="nil"/>
              <w:left w:val="nil"/>
              <w:bottom w:val="nil"/>
              <w:right w:val="nil"/>
            </w:tcBorders>
            <w:shd w:val="clear" w:color="auto" w:fill="FFFFFF"/>
            <w:vAlign w:val="center"/>
          </w:tcPr>
          <w:p w14:paraId="59506821" w14:textId="77777777" w:rsidR="00632A6A" w:rsidRDefault="004553F6">
            <w:pPr>
              <w:jc w:val="center"/>
              <w:rPr>
                <w:color w:val="000000"/>
                <w:sz w:val="24"/>
                <w:szCs w:val="24"/>
              </w:rPr>
            </w:pPr>
            <w:r>
              <w:rPr>
                <w:color w:val="000000"/>
                <w:sz w:val="24"/>
                <w:szCs w:val="24"/>
              </w:rPr>
              <w:t>98.40%</w:t>
            </w:r>
          </w:p>
        </w:tc>
        <w:tc>
          <w:tcPr>
            <w:tcW w:w="1283" w:type="dxa"/>
            <w:tcBorders>
              <w:top w:val="nil"/>
              <w:left w:val="nil"/>
              <w:bottom w:val="nil"/>
              <w:right w:val="nil"/>
            </w:tcBorders>
            <w:shd w:val="clear" w:color="auto" w:fill="FFFFFF"/>
            <w:vAlign w:val="center"/>
          </w:tcPr>
          <w:p w14:paraId="7CB78EF4" w14:textId="77777777" w:rsidR="00632A6A" w:rsidRDefault="004553F6">
            <w:pPr>
              <w:jc w:val="center"/>
              <w:rPr>
                <w:color w:val="000000"/>
                <w:sz w:val="24"/>
                <w:szCs w:val="24"/>
              </w:rPr>
            </w:pPr>
            <w:r>
              <w:rPr>
                <w:color w:val="000000"/>
                <w:sz w:val="24"/>
                <w:szCs w:val="24"/>
              </w:rPr>
              <w:t>1541</w:t>
            </w:r>
          </w:p>
        </w:tc>
        <w:tc>
          <w:tcPr>
            <w:tcW w:w="1197" w:type="dxa"/>
            <w:tcBorders>
              <w:top w:val="nil"/>
              <w:left w:val="nil"/>
              <w:bottom w:val="nil"/>
              <w:right w:val="nil"/>
            </w:tcBorders>
            <w:shd w:val="clear" w:color="auto" w:fill="FFFFFF"/>
            <w:vAlign w:val="center"/>
          </w:tcPr>
          <w:p w14:paraId="28F4318F" w14:textId="77777777" w:rsidR="00632A6A" w:rsidRDefault="004553F6">
            <w:pPr>
              <w:jc w:val="center"/>
              <w:rPr>
                <w:color w:val="000000"/>
                <w:sz w:val="24"/>
                <w:szCs w:val="24"/>
              </w:rPr>
            </w:pPr>
            <w:r>
              <w:rPr>
                <w:color w:val="000000"/>
                <w:sz w:val="24"/>
                <w:szCs w:val="24"/>
              </w:rPr>
              <w:t>1.64%</w:t>
            </w:r>
          </w:p>
        </w:tc>
        <w:tc>
          <w:tcPr>
            <w:tcW w:w="2696" w:type="dxa"/>
            <w:tcBorders>
              <w:top w:val="nil"/>
              <w:left w:val="nil"/>
              <w:bottom w:val="nil"/>
              <w:right w:val="nil"/>
            </w:tcBorders>
            <w:shd w:val="clear" w:color="auto" w:fill="auto"/>
            <w:vAlign w:val="bottom"/>
          </w:tcPr>
          <w:p w14:paraId="3B1E0BCC" w14:textId="77777777" w:rsidR="00632A6A" w:rsidRDefault="004553F6">
            <w:pPr>
              <w:jc w:val="center"/>
              <w:rPr>
                <w:color w:val="000000"/>
                <w:sz w:val="22"/>
                <w:szCs w:val="22"/>
              </w:rPr>
            </w:pPr>
            <w:r>
              <w:rPr>
                <w:color w:val="000000"/>
                <w:sz w:val="22"/>
                <w:szCs w:val="22"/>
              </w:rPr>
              <w:t>93839</w:t>
            </w:r>
          </w:p>
        </w:tc>
      </w:tr>
      <w:tr w:rsidR="00632A6A" w14:paraId="422E8FB9" w14:textId="77777777">
        <w:trPr>
          <w:trHeight w:val="312"/>
        </w:trPr>
        <w:tc>
          <w:tcPr>
            <w:tcW w:w="1240" w:type="dxa"/>
            <w:tcBorders>
              <w:top w:val="nil"/>
              <w:left w:val="nil"/>
              <w:bottom w:val="single" w:sz="4" w:space="0" w:color="000000"/>
              <w:right w:val="nil"/>
            </w:tcBorders>
            <w:shd w:val="clear" w:color="auto" w:fill="FFFFFF"/>
            <w:vAlign w:val="center"/>
          </w:tcPr>
          <w:p w14:paraId="39805E99" w14:textId="77777777" w:rsidR="00632A6A" w:rsidRDefault="004553F6">
            <w:pPr>
              <w:jc w:val="center"/>
              <w:rPr>
                <w:color w:val="000000"/>
                <w:sz w:val="24"/>
                <w:szCs w:val="24"/>
              </w:rPr>
            </w:pPr>
            <w:r>
              <w:rPr>
                <w:color w:val="000000"/>
                <w:sz w:val="24"/>
                <w:szCs w:val="24"/>
              </w:rPr>
              <w:t>2019</w:t>
            </w:r>
          </w:p>
        </w:tc>
        <w:tc>
          <w:tcPr>
            <w:tcW w:w="1521" w:type="dxa"/>
            <w:tcBorders>
              <w:top w:val="nil"/>
              <w:left w:val="nil"/>
              <w:bottom w:val="single" w:sz="4" w:space="0" w:color="000000"/>
              <w:right w:val="nil"/>
            </w:tcBorders>
            <w:shd w:val="clear" w:color="auto" w:fill="FFFFFF"/>
            <w:vAlign w:val="center"/>
          </w:tcPr>
          <w:p w14:paraId="0CB9DB38" w14:textId="77777777" w:rsidR="00632A6A" w:rsidRDefault="004553F6">
            <w:pPr>
              <w:jc w:val="center"/>
              <w:rPr>
                <w:color w:val="000000"/>
                <w:sz w:val="24"/>
                <w:szCs w:val="24"/>
              </w:rPr>
            </w:pPr>
            <w:r>
              <w:rPr>
                <w:color w:val="000000"/>
                <w:sz w:val="24"/>
                <w:szCs w:val="24"/>
              </w:rPr>
              <w:t>91671</w:t>
            </w:r>
          </w:p>
        </w:tc>
        <w:tc>
          <w:tcPr>
            <w:tcW w:w="1419" w:type="dxa"/>
            <w:tcBorders>
              <w:top w:val="nil"/>
              <w:left w:val="nil"/>
              <w:bottom w:val="single" w:sz="4" w:space="0" w:color="000000"/>
              <w:right w:val="nil"/>
            </w:tcBorders>
            <w:shd w:val="clear" w:color="auto" w:fill="FFFFFF"/>
            <w:vAlign w:val="center"/>
          </w:tcPr>
          <w:p w14:paraId="511B9955" w14:textId="77777777" w:rsidR="00632A6A" w:rsidRDefault="004553F6">
            <w:pPr>
              <w:jc w:val="center"/>
              <w:rPr>
                <w:color w:val="000000"/>
                <w:sz w:val="24"/>
                <w:szCs w:val="24"/>
              </w:rPr>
            </w:pPr>
            <w:r>
              <w:rPr>
                <w:color w:val="000000"/>
                <w:sz w:val="24"/>
                <w:szCs w:val="24"/>
              </w:rPr>
              <w:t>88.00%</w:t>
            </w:r>
          </w:p>
        </w:tc>
        <w:tc>
          <w:tcPr>
            <w:tcW w:w="1283" w:type="dxa"/>
            <w:tcBorders>
              <w:top w:val="nil"/>
              <w:left w:val="nil"/>
              <w:bottom w:val="single" w:sz="4" w:space="0" w:color="000000"/>
              <w:right w:val="nil"/>
            </w:tcBorders>
            <w:shd w:val="clear" w:color="auto" w:fill="FFFFFF"/>
            <w:vAlign w:val="center"/>
          </w:tcPr>
          <w:p w14:paraId="2AD62F3E" w14:textId="77777777" w:rsidR="00632A6A" w:rsidRDefault="004553F6">
            <w:pPr>
              <w:jc w:val="center"/>
              <w:rPr>
                <w:color w:val="000000"/>
                <w:sz w:val="24"/>
                <w:szCs w:val="24"/>
              </w:rPr>
            </w:pPr>
            <w:r>
              <w:rPr>
                <w:color w:val="000000"/>
                <w:sz w:val="24"/>
                <w:szCs w:val="24"/>
              </w:rPr>
              <w:t>12523</w:t>
            </w:r>
          </w:p>
        </w:tc>
        <w:tc>
          <w:tcPr>
            <w:tcW w:w="1197" w:type="dxa"/>
            <w:tcBorders>
              <w:top w:val="nil"/>
              <w:left w:val="nil"/>
              <w:bottom w:val="single" w:sz="4" w:space="0" w:color="000000"/>
              <w:right w:val="nil"/>
            </w:tcBorders>
            <w:shd w:val="clear" w:color="auto" w:fill="FFFFFF"/>
            <w:vAlign w:val="center"/>
          </w:tcPr>
          <w:p w14:paraId="75DF1D6F" w14:textId="77777777" w:rsidR="00632A6A" w:rsidRDefault="004553F6">
            <w:pPr>
              <w:jc w:val="center"/>
              <w:rPr>
                <w:color w:val="000000"/>
                <w:sz w:val="24"/>
                <w:szCs w:val="24"/>
              </w:rPr>
            </w:pPr>
            <w:r>
              <w:rPr>
                <w:color w:val="000000"/>
                <w:sz w:val="24"/>
                <w:szCs w:val="24"/>
              </w:rPr>
              <w:t>12.02%</w:t>
            </w:r>
          </w:p>
        </w:tc>
        <w:tc>
          <w:tcPr>
            <w:tcW w:w="2696" w:type="dxa"/>
            <w:tcBorders>
              <w:top w:val="nil"/>
              <w:left w:val="nil"/>
              <w:bottom w:val="single" w:sz="4" w:space="0" w:color="000000"/>
              <w:right w:val="nil"/>
            </w:tcBorders>
            <w:shd w:val="clear" w:color="auto" w:fill="auto"/>
            <w:vAlign w:val="bottom"/>
          </w:tcPr>
          <w:p w14:paraId="0B792935" w14:textId="77777777" w:rsidR="00632A6A" w:rsidRDefault="004553F6">
            <w:pPr>
              <w:jc w:val="center"/>
              <w:rPr>
                <w:color w:val="000000"/>
                <w:sz w:val="22"/>
                <w:szCs w:val="22"/>
              </w:rPr>
            </w:pPr>
            <w:r>
              <w:rPr>
                <w:color w:val="000000"/>
                <w:sz w:val="22"/>
                <w:szCs w:val="22"/>
              </w:rPr>
              <w:t>104194</w:t>
            </w:r>
          </w:p>
        </w:tc>
      </w:tr>
    </w:tbl>
    <w:p w14:paraId="0F4C9243" w14:textId="77777777" w:rsidR="00632A6A" w:rsidRDefault="004553F6">
      <w:pPr>
        <w:spacing w:line="360" w:lineRule="auto"/>
        <w:jc w:val="both"/>
        <w:rPr>
          <w:color w:val="000000"/>
        </w:rPr>
      </w:pPr>
      <w:r>
        <w:rPr>
          <w:color w:val="000000"/>
        </w:rPr>
        <w:t>Fuente: Adaptado de SUNAT, Registro Único del Contribuyente, 2012-2019, Ministerio de la Producción (2019</w:t>
      </w:r>
    </w:p>
    <w:p w14:paraId="0793D6F4" w14:textId="77777777" w:rsidR="00632A6A" w:rsidRDefault="004553F6">
      <w:pPr>
        <w:keepNext/>
        <w:keepLines/>
        <w:pBdr>
          <w:top w:val="nil"/>
          <w:left w:val="nil"/>
          <w:bottom w:val="nil"/>
          <w:right w:val="nil"/>
          <w:between w:val="nil"/>
        </w:pBdr>
        <w:spacing w:before="240" w:line="360" w:lineRule="auto"/>
        <w:rPr>
          <w:color w:val="000000"/>
          <w:sz w:val="24"/>
          <w:szCs w:val="24"/>
        </w:rPr>
      </w:pPr>
      <w:r>
        <w:rPr>
          <w:color w:val="000000"/>
          <w:sz w:val="24"/>
          <w:szCs w:val="24"/>
        </w:rPr>
        <w:t>Figura 1</w:t>
      </w:r>
      <w:r>
        <w:rPr>
          <w:color w:val="000000"/>
          <w:sz w:val="24"/>
          <w:szCs w:val="24"/>
        </w:rPr>
        <w:br/>
      </w:r>
      <w:r>
        <w:rPr>
          <w:i/>
          <w:color w:val="000000"/>
          <w:sz w:val="24"/>
          <w:szCs w:val="24"/>
        </w:rPr>
        <w:t>Evolución de las MYPES formales e informales en Lima, 2012-2019</w:t>
      </w:r>
    </w:p>
    <w:p w14:paraId="4DAA1479" w14:textId="77777777" w:rsidR="00632A6A" w:rsidRDefault="004553F6">
      <w:pPr>
        <w:pBdr>
          <w:top w:val="nil"/>
          <w:left w:val="nil"/>
          <w:bottom w:val="nil"/>
          <w:right w:val="nil"/>
          <w:between w:val="nil"/>
        </w:pBdr>
        <w:spacing w:line="360" w:lineRule="auto"/>
        <w:jc w:val="both"/>
        <w:rPr>
          <w:color w:val="000000"/>
        </w:rPr>
      </w:pPr>
      <w:r>
        <w:rPr>
          <w:noProof/>
          <w:color w:val="000000"/>
          <w:lang w:val="en-US" w:eastAsia="en-US"/>
        </w:rPr>
        <w:drawing>
          <wp:inline distT="0" distB="0" distL="0" distR="0" wp14:anchorId="78B5562C" wp14:editId="5FB7C7F3">
            <wp:extent cx="5932714" cy="3177540"/>
            <wp:effectExtent l="0" t="0" r="11430" b="381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0E04AE3" w14:textId="77777777" w:rsidR="00632A6A" w:rsidRDefault="004553F6">
      <w:pPr>
        <w:pBdr>
          <w:top w:val="nil"/>
          <w:left w:val="nil"/>
          <w:bottom w:val="nil"/>
          <w:right w:val="nil"/>
          <w:between w:val="nil"/>
        </w:pBdr>
        <w:spacing w:line="360" w:lineRule="auto"/>
        <w:jc w:val="both"/>
        <w:rPr>
          <w:color w:val="000000"/>
        </w:rPr>
      </w:pPr>
      <w:r>
        <w:rPr>
          <w:color w:val="000000"/>
        </w:rPr>
        <w:t>Fuente: SUNAT, Registro Único del Contribuyente, 2012-2019, Ministerio de la Producción (2019)</w:t>
      </w:r>
    </w:p>
    <w:p w14:paraId="07A5B3A5" w14:textId="77777777" w:rsidR="00632A6A" w:rsidRDefault="00632A6A">
      <w:pPr>
        <w:keepNext/>
        <w:keepLines/>
        <w:pBdr>
          <w:top w:val="nil"/>
          <w:left w:val="nil"/>
          <w:bottom w:val="nil"/>
          <w:right w:val="nil"/>
          <w:between w:val="nil"/>
        </w:pBdr>
        <w:spacing w:before="240" w:line="360" w:lineRule="auto"/>
        <w:ind w:firstLine="357"/>
        <w:rPr>
          <w:color w:val="000000"/>
          <w:sz w:val="24"/>
          <w:szCs w:val="24"/>
        </w:rPr>
      </w:pPr>
    </w:p>
    <w:p w14:paraId="7AE977DC"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 xml:space="preserve">Por otro lado, en la Tabla 4 se detalla la recaudación tributaria en Lima para el periodo 2012 – 2019 y en la Tabla 5, el nivel de educación superior en Lima, expresada a través de la cantidad de personas tituladas en el periodo 2012-2019. </w:t>
      </w:r>
    </w:p>
    <w:p w14:paraId="69A83897" w14:textId="77777777" w:rsidR="00632A6A" w:rsidRDefault="004553F6">
      <w:pPr>
        <w:keepNext/>
        <w:keepLines/>
        <w:pBdr>
          <w:top w:val="nil"/>
          <w:left w:val="nil"/>
          <w:bottom w:val="nil"/>
          <w:right w:val="nil"/>
          <w:between w:val="nil"/>
        </w:pBdr>
        <w:spacing w:before="240" w:line="360" w:lineRule="auto"/>
        <w:rPr>
          <w:color w:val="000000"/>
          <w:sz w:val="24"/>
          <w:szCs w:val="24"/>
        </w:rPr>
      </w:pPr>
      <w:r>
        <w:rPr>
          <w:color w:val="000000"/>
          <w:sz w:val="24"/>
          <w:szCs w:val="24"/>
        </w:rPr>
        <w:lastRenderedPageBreak/>
        <w:t>Tabla 4</w:t>
      </w:r>
      <w:r>
        <w:rPr>
          <w:b/>
          <w:color w:val="000000"/>
          <w:sz w:val="24"/>
          <w:szCs w:val="24"/>
        </w:rPr>
        <w:t xml:space="preserve"> </w:t>
      </w:r>
      <w:r>
        <w:rPr>
          <w:color w:val="000000"/>
          <w:sz w:val="24"/>
          <w:szCs w:val="24"/>
        </w:rPr>
        <w:br/>
      </w:r>
      <w:r>
        <w:rPr>
          <w:i/>
          <w:color w:val="000000"/>
          <w:sz w:val="24"/>
          <w:szCs w:val="24"/>
        </w:rPr>
        <w:t>Recaudación tributaria en Lima, en millones de soles, 2012-2019</w:t>
      </w:r>
    </w:p>
    <w:tbl>
      <w:tblPr>
        <w:tblStyle w:val="a2"/>
        <w:tblW w:w="9410" w:type="dxa"/>
        <w:tblInd w:w="0" w:type="dxa"/>
        <w:tblLayout w:type="fixed"/>
        <w:tblLook w:val="0400" w:firstRow="0" w:lastRow="0" w:firstColumn="0" w:lastColumn="0" w:noHBand="0" w:noVBand="1"/>
      </w:tblPr>
      <w:tblGrid>
        <w:gridCol w:w="1962"/>
        <w:gridCol w:w="931"/>
        <w:gridCol w:w="931"/>
        <w:gridCol w:w="931"/>
        <w:gridCol w:w="931"/>
        <w:gridCol w:w="931"/>
        <w:gridCol w:w="931"/>
        <w:gridCol w:w="931"/>
        <w:gridCol w:w="931"/>
      </w:tblGrid>
      <w:tr w:rsidR="00632A6A" w14:paraId="59EB5E54" w14:textId="77777777">
        <w:trPr>
          <w:trHeight w:val="195"/>
        </w:trPr>
        <w:tc>
          <w:tcPr>
            <w:tcW w:w="1962" w:type="dxa"/>
            <w:tcBorders>
              <w:top w:val="single" w:sz="4" w:space="0" w:color="000000"/>
              <w:bottom w:val="single" w:sz="4" w:space="0" w:color="000000"/>
            </w:tcBorders>
            <w:shd w:val="clear" w:color="auto" w:fill="auto"/>
            <w:vAlign w:val="center"/>
          </w:tcPr>
          <w:p w14:paraId="758FFADA" w14:textId="77777777" w:rsidR="00632A6A" w:rsidRDefault="004553F6">
            <w:pPr>
              <w:jc w:val="center"/>
              <w:rPr>
                <w:sz w:val="24"/>
                <w:szCs w:val="24"/>
              </w:rPr>
            </w:pPr>
            <w:r>
              <w:rPr>
                <w:sz w:val="24"/>
                <w:szCs w:val="24"/>
              </w:rPr>
              <w:t>Año</w:t>
            </w:r>
          </w:p>
        </w:tc>
        <w:tc>
          <w:tcPr>
            <w:tcW w:w="931" w:type="dxa"/>
            <w:tcBorders>
              <w:top w:val="single" w:sz="4" w:space="0" w:color="000000"/>
              <w:bottom w:val="single" w:sz="4" w:space="0" w:color="000000"/>
            </w:tcBorders>
            <w:shd w:val="clear" w:color="auto" w:fill="auto"/>
            <w:vAlign w:val="center"/>
          </w:tcPr>
          <w:p w14:paraId="2F978305" w14:textId="77777777" w:rsidR="00632A6A" w:rsidRDefault="004553F6">
            <w:pPr>
              <w:jc w:val="center"/>
              <w:rPr>
                <w:sz w:val="24"/>
                <w:szCs w:val="24"/>
              </w:rPr>
            </w:pPr>
            <w:r>
              <w:rPr>
                <w:sz w:val="24"/>
                <w:szCs w:val="24"/>
              </w:rPr>
              <w:t>2012</w:t>
            </w:r>
          </w:p>
        </w:tc>
        <w:tc>
          <w:tcPr>
            <w:tcW w:w="931" w:type="dxa"/>
            <w:tcBorders>
              <w:top w:val="single" w:sz="4" w:space="0" w:color="000000"/>
              <w:bottom w:val="single" w:sz="4" w:space="0" w:color="000000"/>
            </w:tcBorders>
            <w:shd w:val="clear" w:color="auto" w:fill="auto"/>
            <w:vAlign w:val="center"/>
          </w:tcPr>
          <w:p w14:paraId="628A1A2D" w14:textId="77777777" w:rsidR="00632A6A" w:rsidRDefault="004553F6">
            <w:pPr>
              <w:jc w:val="center"/>
              <w:rPr>
                <w:sz w:val="24"/>
                <w:szCs w:val="24"/>
              </w:rPr>
            </w:pPr>
            <w:r>
              <w:rPr>
                <w:sz w:val="24"/>
                <w:szCs w:val="24"/>
              </w:rPr>
              <w:t>2013</w:t>
            </w:r>
          </w:p>
        </w:tc>
        <w:tc>
          <w:tcPr>
            <w:tcW w:w="931" w:type="dxa"/>
            <w:tcBorders>
              <w:top w:val="single" w:sz="4" w:space="0" w:color="000000"/>
              <w:bottom w:val="single" w:sz="4" w:space="0" w:color="000000"/>
            </w:tcBorders>
            <w:shd w:val="clear" w:color="auto" w:fill="auto"/>
            <w:vAlign w:val="center"/>
          </w:tcPr>
          <w:p w14:paraId="671B1580" w14:textId="77777777" w:rsidR="00632A6A" w:rsidRDefault="004553F6">
            <w:pPr>
              <w:jc w:val="center"/>
              <w:rPr>
                <w:sz w:val="24"/>
                <w:szCs w:val="24"/>
              </w:rPr>
            </w:pPr>
            <w:r>
              <w:rPr>
                <w:sz w:val="24"/>
                <w:szCs w:val="24"/>
              </w:rPr>
              <w:t>2014</w:t>
            </w:r>
          </w:p>
        </w:tc>
        <w:tc>
          <w:tcPr>
            <w:tcW w:w="931" w:type="dxa"/>
            <w:tcBorders>
              <w:top w:val="single" w:sz="4" w:space="0" w:color="000000"/>
              <w:bottom w:val="single" w:sz="4" w:space="0" w:color="000000"/>
            </w:tcBorders>
            <w:shd w:val="clear" w:color="auto" w:fill="auto"/>
            <w:vAlign w:val="center"/>
          </w:tcPr>
          <w:p w14:paraId="1514B196" w14:textId="77777777" w:rsidR="00632A6A" w:rsidRDefault="004553F6">
            <w:pPr>
              <w:jc w:val="center"/>
              <w:rPr>
                <w:sz w:val="24"/>
                <w:szCs w:val="24"/>
              </w:rPr>
            </w:pPr>
            <w:r>
              <w:rPr>
                <w:sz w:val="24"/>
                <w:szCs w:val="24"/>
              </w:rPr>
              <w:t>2015</w:t>
            </w:r>
          </w:p>
        </w:tc>
        <w:tc>
          <w:tcPr>
            <w:tcW w:w="931" w:type="dxa"/>
            <w:tcBorders>
              <w:top w:val="single" w:sz="4" w:space="0" w:color="000000"/>
              <w:bottom w:val="single" w:sz="4" w:space="0" w:color="000000"/>
            </w:tcBorders>
            <w:shd w:val="clear" w:color="auto" w:fill="auto"/>
            <w:vAlign w:val="center"/>
          </w:tcPr>
          <w:p w14:paraId="55ED720D" w14:textId="77777777" w:rsidR="00632A6A" w:rsidRDefault="004553F6">
            <w:pPr>
              <w:jc w:val="center"/>
              <w:rPr>
                <w:sz w:val="24"/>
                <w:szCs w:val="24"/>
              </w:rPr>
            </w:pPr>
            <w:r>
              <w:rPr>
                <w:sz w:val="24"/>
                <w:szCs w:val="24"/>
              </w:rPr>
              <w:t>2016</w:t>
            </w:r>
          </w:p>
        </w:tc>
        <w:tc>
          <w:tcPr>
            <w:tcW w:w="931" w:type="dxa"/>
            <w:tcBorders>
              <w:top w:val="single" w:sz="4" w:space="0" w:color="000000"/>
              <w:bottom w:val="single" w:sz="4" w:space="0" w:color="000000"/>
            </w:tcBorders>
            <w:shd w:val="clear" w:color="auto" w:fill="auto"/>
            <w:vAlign w:val="center"/>
          </w:tcPr>
          <w:p w14:paraId="113D3D29" w14:textId="77777777" w:rsidR="00632A6A" w:rsidRDefault="004553F6">
            <w:pPr>
              <w:jc w:val="center"/>
              <w:rPr>
                <w:sz w:val="24"/>
                <w:szCs w:val="24"/>
              </w:rPr>
            </w:pPr>
            <w:r>
              <w:rPr>
                <w:sz w:val="24"/>
                <w:szCs w:val="24"/>
              </w:rPr>
              <w:t>2017</w:t>
            </w:r>
          </w:p>
        </w:tc>
        <w:tc>
          <w:tcPr>
            <w:tcW w:w="931" w:type="dxa"/>
            <w:tcBorders>
              <w:top w:val="single" w:sz="4" w:space="0" w:color="000000"/>
              <w:bottom w:val="single" w:sz="4" w:space="0" w:color="000000"/>
            </w:tcBorders>
            <w:shd w:val="clear" w:color="auto" w:fill="auto"/>
            <w:vAlign w:val="center"/>
          </w:tcPr>
          <w:p w14:paraId="755FF89A" w14:textId="77777777" w:rsidR="00632A6A" w:rsidRDefault="004553F6">
            <w:pPr>
              <w:jc w:val="center"/>
              <w:rPr>
                <w:sz w:val="24"/>
                <w:szCs w:val="24"/>
              </w:rPr>
            </w:pPr>
            <w:r>
              <w:rPr>
                <w:sz w:val="24"/>
                <w:szCs w:val="24"/>
              </w:rPr>
              <w:t>2018</w:t>
            </w:r>
          </w:p>
        </w:tc>
        <w:tc>
          <w:tcPr>
            <w:tcW w:w="931" w:type="dxa"/>
            <w:tcBorders>
              <w:top w:val="single" w:sz="4" w:space="0" w:color="000000"/>
              <w:bottom w:val="single" w:sz="4" w:space="0" w:color="000000"/>
            </w:tcBorders>
            <w:shd w:val="clear" w:color="auto" w:fill="auto"/>
            <w:vAlign w:val="center"/>
          </w:tcPr>
          <w:p w14:paraId="7DD11A50" w14:textId="77777777" w:rsidR="00632A6A" w:rsidRDefault="004553F6">
            <w:pPr>
              <w:jc w:val="center"/>
              <w:rPr>
                <w:sz w:val="24"/>
                <w:szCs w:val="24"/>
              </w:rPr>
            </w:pPr>
            <w:r>
              <w:rPr>
                <w:sz w:val="24"/>
                <w:szCs w:val="24"/>
              </w:rPr>
              <w:t>2019</w:t>
            </w:r>
          </w:p>
        </w:tc>
      </w:tr>
      <w:tr w:rsidR="00632A6A" w14:paraId="3CF914EF" w14:textId="77777777">
        <w:trPr>
          <w:trHeight w:val="821"/>
        </w:trPr>
        <w:tc>
          <w:tcPr>
            <w:tcW w:w="1962" w:type="dxa"/>
            <w:tcBorders>
              <w:top w:val="single" w:sz="4" w:space="0" w:color="000000"/>
              <w:bottom w:val="single" w:sz="4" w:space="0" w:color="000000"/>
            </w:tcBorders>
            <w:shd w:val="clear" w:color="auto" w:fill="auto"/>
            <w:vAlign w:val="center"/>
          </w:tcPr>
          <w:p w14:paraId="358EB2AE" w14:textId="77777777" w:rsidR="00632A6A" w:rsidRDefault="004553F6">
            <w:pPr>
              <w:jc w:val="center"/>
              <w:rPr>
                <w:sz w:val="24"/>
                <w:szCs w:val="24"/>
              </w:rPr>
            </w:pPr>
            <w:r>
              <w:rPr>
                <w:sz w:val="24"/>
                <w:szCs w:val="24"/>
              </w:rPr>
              <w:t>Ingresos tributarios</w:t>
            </w:r>
          </w:p>
        </w:tc>
        <w:tc>
          <w:tcPr>
            <w:tcW w:w="931" w:type="dxa"/>
            <w:tcBorders>
              <w:top w:val="single" w:sz="4" w:space="0" w:color="000000"/>
              <w:bottom w:val="single" w:sz="4" w:space="0" w:color="000000"/>
            </w:tcBorders>
            <w:shd w:val="clear" w:color="auto" w:fill="auto"/>
            <w:vAlign w:val="center"/>
          </w:tcPr>
          <w:p w14:paraId="3E6981D8" w14:textId="77777777" w:rsidR="00632A6A" w:rsidRDefault="004553F6">
            <w:pPr>
              <w:jc w:val="center"/>
              <w:rPr>
                <w:sz w:val="24"/>
                <w:szCs w:val="24"/>
              </w:rPr>
            </w:pPr>
            <w:r>
              <w:rPr>
                <w:sz w:val="24"/>
                <w:szCs w:val="24"/>
              </w:rPr>
              <w:t>59,762</w:t>
            </w:r>
          </w:p>
        </w:tc>
        <w:tc>
          <w:tcPr>
            <w:tcW w:w="931" w:type="dxa"/>
            <w:tcBorders>
              <w:top w:val="single" w:sz="4" w:space="0" w:color="000000"/>
              <w:bottom w:val="single" w:sz="4" w:space="0" w:color="000000"/>
            </w:tcBorders>
            <w:shd w:val="clear" w:color="auto" w:fill="auto"/>
            <w:vAlign w:val="center"/>
          </w:tcPr>
          <w:p w14:paraId="70A723FE" w14:textId="77777777" w:rsidR="00632A6A" w:rsidRDefault="004553F6">
            <w:pPr>
              <w:jc w:val="center"/>
              <w:rPr>
                <w:sz w:val="24"/>
                <w:szCs w:val="24"/>
              </w:rPr>
            </w:pPr>
            <w:r>
              <w:rPr>
                <w:sz w:val="24"/>
                <w:szCs w:val="24"/>
              </w:rPr>
              <w:t>63,711</w:t>
            </w:r>
          </w:p>
        </w:tc>
        <w:tc>
          <w:tcPr>
            <w:tcW w:w="931" w:type="dxa"/>
            <w:tcBorders>
              <w:top w:val="single" w:sz="4" w:space="0" w:color="000000"/>
              <w:bottom w:val="single" w:sz="4" w:space="0" w:color="000000"/>
            </w:tcBorders>
            <w:shd w:val="clear" w:color="auto" w:fill="auto"/>
            <w:vAlign w:val="center"/>
          </w:tcPr>
          <w:p w14:paraId="571CB006" w14:textId="77777777" w:rsidR="00632A6A" w:rsidRDefault="004553F6">
            <w:pPr>
              <w:jc w:val="center"/>
              <w:rPr>
                <w:sz w:val="24"/>
                <w:szCs w:val="24"/>
              </w:rPr>
            </w:pPr>
            <w:r>
              <w:rPr>
                <w:sz w:val="24"/>
                <w:szCs w:val="24"/>
              </w:rPr>
              <w:t>67,468</w:t>
            </w:r>
          </w:p>
        </w:tc>
        <w:tc>
          <w:tcPr>
            <w:tcW w:w="931" w:type="dxa"/>
            <w:tcBorders>
              <w:top w:val="single" w:sz="4" w:space="0" w:color="000000"/>
              <w:bottom w:val="single" w:sz="4" w:space="0" w:color="000000"/>
            </w:tcBorders>
            <w:shd w:val="clear" w:color="auto" w:fill="auto"/>
            <w:vAlign w:val="center"/>
          </w:tcPr>
          <w:p w14:paraId="0299ADA0" w14:textId="77777777" w:rsidR="00632A6A" w:rsidRDefault="004553F6">
            <w:pPr>
              <w:jc w:val="center"/>
              <w:rPr>
                <w:sz w:val="24"/>
                <w:szCs w:val="24"/>
              </w:rPr>
            </w:pPr>
            <w:r>
              <w:rPr>
                <w:sz w:val="24"/>
                <w:szCs w:val="24"/>
              </w:rPr>
              <w:t>63,351</w:t>
            </w:r>
          </w:p>
        </w:tc>
        <w:tc>
          <w:tcPr>
            <w:tcW w:w="931" w:type="dxa"/>
            <w:tcBorders>
              <w:top w:val="single" w:sz="4" w:space="0" w:color="000000"/>
              <w:bottom w:val="single" w:sz="4" w:space="0" w:color="000000"/>
            </w:tcBorders>
            <w:shd w:val="clear" w:color="auto" w:fill="auto"/>
            <w:vAlign w:val="center"/>
          </w:tcPr>
          <w:p w14:paraId="5CA685A0" w14:textId="77777777" w:rsidR="00632A6A" w:rsidRDefault="004553F6">
            <w:pPr>
              <w:jc w:val="center"/>
              <w:rPr>
                <w:sz w:val="24"/>
                <w:szCs w:val="24"/>
              </w:rPr>
            </w:pPr>
            <w:r>
              <w:rPr>
                <w:sz w:val="24"/>
                <w:szCs w:val="24"/>
              </w:rPr>
              <w:t>66,385</w:t>
            </w:r>
          </w:p>
        </w:tc>
        <w:tc>
          <w:tcPr>
            <w:tcW w:w="931" w:type="dxa"/>
            <w:tcBorders>
              <w:top w:val="single" w:sz="4" w:space="0" w:color="000000"/>
              <w:bottom w:val="single" w:sz="4" w:space="0" w:color="000000"/>
            </w:tcBorders>
            <w:shd w:val="clear" w:color="auto" w:fill="auto"/>
            <w:vAlign w:val="center"/>
          </w:tcPr>
          <w:p w14:paraId="7B61354C" w14:textId="77777777" w:rsidR="00632A6A" w:rsidRDefault="004553F6">
            <w:pPr>
              <w:jc w:val="center"/>
              <w:rPr>
                <w:sz w:val="24"/>
                <w:szCs w:val="24"/>
              </w:rPr>
            </w:pPr>
            <w:r>
              <w:rPr>
                <w:sz w:val="24"/>
                <w:szCs w:val="24"/>
              </w:rPr>
              <w:t>66,757</w:t>
            </w:r>
          </w:p>
        </w:tc>
        <w:tc>
          <w:tcPr>
            <w:tcW w:w="931" w:type="dxa"/>
            <w:tcBorders>
              <w:top w:val="single" w:sz="4" w:space="0" w:color="000000"/>
              <w:bottom w:val="single" w:sz="4" w:space="0" w:color="000000"/>
            </w:tcBorders>
            <w:shd w:val="clear" w:color="auto" w:fill="auto"/>
            <w:vAlign w:val="center"/>
          </w:tcPr>
          <w:p w14:paraId="5B46A436" w14:textId="77777777" w:rsidR="00632A6A" w:rsidRDefault="004553F6">
            <w:pPr>
              <w:jc w:val="center"/>
              <w:rPr>
                <w:sz w:val="24"/>
                <w:szCs w:val="24"/>
              </w:rPr>
            </w:pPr>
            <w:r>
              <w:rPr>
                <w:sz w:val="24"/>
                <w:szCs w:val="24"/>
              </w:rPr>
              <w:t>74,986</w:t>
            </w:r>
          </w:p>
        </w:tc>
        <w:tc>
          <w:tcPr>
            <w:tcW w:w="931" w:type="dxa"/>
            <w:tcBorders>
              <w:top w:val="single" w:sz="4" w:space="0" w:color="000000"/>
              <w:bottom w:val="single" w:sz="4" w:space="0" w:color="000000"/>
            </w:tcBorders>
            <w:shd w:val="clear" w:color="auto" w:fill="auto"/>
            <w:vAlign w:val="center"/>
          </w:tcPr>
          <w:p w14:paraId="40169258" w14:textId="77777777" w:rsidR="00632A6A" w:rsidRDefault="004553F6">
            <w:pPr>
              <w:jc w:val="center"/>
              <w:rPr>
                <w:sz w:val="24"/>
                <w:szCs w:val="24"/>
              </w:rPr>
            </w:pPr>
            <w:r>
              <w:rPr>
                <w:sz w:val="24"/>
                <w:szCs w:val="24"/>
              </w:rPr>
              <w:t>81,456</w:t>
            </w:r>
          </w:p>
        </w:tc>
      </w:tr>
    </w:tbl>
    <w:p w14:paraId="3AA4DBEF" w14:textId="77777777" w:rsidR="00632A6A" w:rsidRDefault="004553F6">
      <w:pPr>
        <w:pBdr>
          <w:top w:val="nil"/>
          <w:left w:val="nil"/>
          <w:bottom w:val="nil"/>
          <w:right w:val="nil"/>
          <w:between w:val="nil"/>
        </w:pBdr>
        <w:spacing w:line="360" w:lineRule="auto"/>
        <w:jc w:val="both"/>
        <w:rPr>
          <w:color w:val="000000"/>
        </w:rPr>
      </w:pPr>
      <w:r>
        <w:rPr>
          <w:color w:val="000000"/>
        </w:rPr>
        <w:t xml:space="preserve">Fuente: Adaptado de SUNAT (2019), cuadro A.1 ingresos del gobierno central consolidado 2012-2019. </w:t>
      </w:r>
    </w:p>
    <w:p w14:paraId="619621C2" w14:textId="77777777" w:rsidR="00632A6A" w:rsidRDefault="00632A6A">
      <w:pPr>
        <w:pBdr>
          <w:top w:val="nil"/>
          <w:left w:val="nil"/>
          <w:bottom w:val="nil"/>
          <w:right w:val="nil"/>
          <w:between w:val="nil"/>
        </w:pBdr>
        <w:spacing w:line="360" w:lineRule="auto"/>
        <w:ind w:firstLine="357"/>
        <w:jc w:val="both"/>
        <w:rPr>
          <w:b/>
          <w:color w:val="000000"/>
          <w:sz w:val="24"/>
          <w:szCs w:val="24"/>
        </w:rPr>
      </w:pPr>
    </w:p>
    <w:p w14:paraId="579A09AF" w14:textId="77777777" w:rsidR="00632A6A" w:rsidRDefault="004553F6">
      <w:pPr>
        <w:keepNext/>
        <w:spacing w:before="240" w:line="360" w:lineRule="auto"/>
        <w:rPr>
          <w:i/>
          <w:sz w:val="24"/>
          <w:szCs w:val="24"/>
        </w:rPr>
      </w:pPr>
      <w:r>
        <w:rPr>
          <w:sz w:val="24"/>
          <w:szCs w:val="24"/>
        </w:rPr>
        <w:t>Tabla 5</w:t>
      </w:r>
      <w:r>
        <w:rPr>
          <w:b/>
          <w:sz w:val="24"/>
          <w:szCs w:val="24"/>
        </w:rPr>
        <w:t xml:space="preserve"> </w:t>
      </w:r>
      <w:r>
        <w:rPr>
          <w:i/>
          <w:sz w:val="24"/>
          <w:szCs w:val="24"/>
        </w:rPr>
        <w:br/>
        <w:t>Total de personas tituladas en Lima, en el periodo 2012-2019</w:t>
      </w:r>
    </w:p>
    <w:tbl>
      <w:tblPr>
        <w:tblStyle w:val="a3"/>
        <w:tblW w:w="9359" w:type="dxa"/>
        <w:tblInd w:w="0" w:type="dxa"/>
        <w:tblLayout w:type="fixed"/>
        <w:tblLook w:val="0400" w:firstRow="0" w:lastRow="0" w:firstColumn="0" w:lastColumn="0" w:noHBand="0" w:noVBand="1"/>
      </w:tblPr>
      <w:tblGrid>
        <w:gridCol w:w="1134"/>
        <w:gridCol w:w="2680"/>
        <w:gridCol w:w="2644"/>
        <w:gridCol w:w="2901"/>
      </w:tblGrid>
      <w:tr w:rsidR="00632A6A" w14:paraId="42CA88B9" w14:textId="77777777">
        <w:trPr>
          <w:trHeight w:val="139"/>
        </w:trPr>
        <w:tc>
          <w:tcPr>
            <w:tcW w:w="1134" w:type="dxa"/>
            <w:tcBorders>
              <w:top w:val="single" w:sz="4" w:space="0" w:color="000000"/>
              <w:bottom w:val="single" w:sz="4" w:space="0" w:color="000000"/>
            </w:tcBorders>
            <w:shd w:val="clear" w:color="auto" w:fill="auto"/>
            <w:vAlign w:val="center"/>
          </w:tcPr>
          <w:p w14:paraId="4B72623A" w14:textId="77777777" w:rsidR="00632A6A" w:rsidRDefault="004553F6">
            <w:pPr>
              <w:jc w:val="center"/>
              <w:rPr>
                <w:color w:val="000000"/>
                <w:sz w:val="24"/>
                <w:szCs w:val="24"/>
              </w:rPr>
            </w:pPr>
            <w:r>
              <w:rPr>
                <w:color w:val="000000"/>
                <w:sz w:val="24"/>
                <w:szCs w:val="24"/>
              </w:rPr>
              <w:t>Año</w:t>
            </w:r>
          </w:p>
        </w:tc>
        <w:tc>
          <w:tcPr>
            <w:tcW w:w="2680" w:type="dxa"/>
            <w:tcBorders>
              <w:top w:val="single" w:sz="4" w:space="0" w:color="000000"/>
              <w:bottom w:val="single" w:sz="4" w:space="0" w:color="000000"/>
            </w:tcBorders>
            <w:shd w:val="clear" w:color="auto" w:fill="auto"/>
            <w:vAlign w:val="center"/>
          </w:tcPr>
          <w:p w14:paraId="7E2F3B3C" w14:textId="77777777" w:rsidR="00632A6A" w:rsidRDefault="004553F6">
            <w:pPr>
              <w:jc w:val="center"/>
              <w:rPr>
                <w:sz w:val="24"/>
                <w:szCs w:val="24"/>
              </w:rPr>
            </w:pPr>
            <w:r>
              <w:rPr>
                <w:sz w:val="24"/>
                <w:szCs w:val="24"/>
              </w:rPr>
              <w:t>Universidad</w:t>
            </w:r>
          </w:p>
          <w:p w14:paraId="750069C6" w14:textId="77777777" w:rsidR="00632A6A" w:rsidRDefault="004553F6">
            <w:pPr>
              <w:jc w:val="center"/>
              <w:rPr>
                <w:sz w:val="24"/>
                <w:szCs w:val="24"/>
              </w:rPr>
            </w:pPr>
            <w:r>
              <w:rPr>
                <w:sz w:val="24"/>
                <w:szCs w:val="24"/>
              </w:rPr>
              <w:t>Privada (1)</w:t>
            </w:r>
          </w:p>
        </w:tc>
        <w:tc>
          <w:tcPr>
            <w:tcW w:w="2644" w:type="dxa"/>
            <w:tcBorders>
              <w:top w:val="single" w:sz="4" w:space="0" w:color="000000"/>
              <w:bottom w:val="single" w:sz="4" w:space="0" w:color="000000"/>
            </w:tcBorders>
            <w:shd w:val="clear" w:color="auto" w:fill="auto"/>
            <w:vAlign w:val="center"/>
          </w:tcPr>
          <w:p w14:paraId="2BE6D03C" w14:textId="77777777" w:rsidR="00632A6A" w:rsidRDefault="004553F6">
            <w:pPr>
              <w:jc w:val="center"/>
              <w:rPr>
                <w:sz w:val="24"/>
                <w:szCs w:val="24"/>
              </w:rPr>
            </w:pPr>
            <w:r>
              <w:rPr>
                <w:sz w:val="24"/>
                <w:szCs w:val="24"/>
              </w:rPr>
              <w:t>Universidad</w:t>
            </w:r>
          </w:p>
          <w:p w14:paraId="50CF58A6" w14:textId="77777777" w:rsidR="00632A6A" w:rsidRDefault="004553F6">
            <w:pPr>
              <w:jc w:val="center"/>
              <w:rPr>
                <w:sz w:val="24"/>
                <w:szCs w:val="24"/>
              </w:rPr>
            </w:pPr>
            <w:r>
              <w:rPr>
                <w:sz w:val="24"/>
                <w:szCs w:val="24"/>
              </w:rPr>
              <w:t>Pública (2)</w:t>
            </w:r>
          </w:p>
        </w:tc>
        <w:tc>
          <w:tcPr>
            <w:tcW w:w="2901" w:type="dxa"/>
            <w:tcBorders>
              <w:top w:val="single" w:sz="4" w:space="0" w:color="000000"/>
              <w:bottom w:val="single" w:sz="4" w:space="0" w:color="000000"/>
            </w:tcBorders>
            <w:shd w:val="clear" w:color="auto" w:fill="auto"/>
            <w:vAlign w:val="center"/>
          </w:tcPr>
          <w:p w14:paraId="3D88C3C1" w14:textId="77777777" w:rsidR="00632A6A" w:rsidRDefault="004553F6">
            <w:pPr>
              <w:jc w:val="center"/>
              <w:rPr>
                <w:sz w:val="24"/>
                <w:szCs w:val="24"/>
              </w:rPr>
            </w:pPr>
            <w:r>
              <w:rPr>
                <w:sz w:val="24"/>
                <w:szCs w:val="24"/>
              </w:rPr>
              <w:t>Población Con Educación Superior (*)</w:t>
            </w:r>
          </w:p>
        </w:tc>
      </w:tr>
      <w:tr w:rsidR="00632A6A" w14:paraId="32792BEB" w14:textId="77777777">
        <w:trPr>
          <w:trHeight w:val="415"/>
        </w:trPr>
        <w:tc>
          <w:tcPr>
            <w:tcW w:w="1134" w:type="dxa"/>
            <w:tcBorders>
              <w:top w:val="single" w:sz="4" w:space="0" w:color="000000"/>
            </w:tcBorders>
            <w:shd w:val="clear" w:color="auto" w:fill="auto"/>
            <w:vAlign w:val="bottom"/>
          </w:tcPr>
          <w:p w14:paraId="6EEBF13A" w14:textId="77777777" w:rsidR="00632A6A" w:rsidRDefault="004553F6">
            <w:pPr>
              <w:jc w:val="center"/>
              <w:rPr>
                <w:sz w:val="24"/>
                <w:szCs w:val="24"/>
              </w:rPr>
            </w:pPr>
            <w:r>
              <w:rPr>
                <w:sz w:val="24"/>
                <w:szCs w:val="24"/>
              </w:rPr>
              <w:t>2012</w:t>
            </w:r>
          </w:p>
        </w:tc>
        <w:tc>
          <w:tcPr>
            <w:tcW w:w="2680" w:type="dxa"/>
            <w:tcBorders>
              <w:top w:val="single" w:sz="4" w:space="0" w:color="000000"/>
            </w:tcBorders>
            <w:shd w:val="clear" w:color="auto" w:fill="auto"/>
            <w:vAlign w:val="bottom"/>
          </w:tcPr>
          <w:p w14:paraId="6C923DF8" w14:textId="77777777" w:rsidR="00632A6A" w:rsidRDefault="004553F6">
            <w:pPr>
              <w:jc w:val="center"/>
              <w:rPr>
                <w:sz w:val="24"/>
                <w:szCs w:val="24"/>
              </w:rPr>
            </w:pPr>
            <w:r>
              <w:rPr>
                <w:sz w:val="24"/>
                <w:szCs w:val="24"/>
              </w:rPr>
              <w:t>33998</w:t>
            </w:r>
          </w:p>
        </w:tc>
        <w:tc>
          <w:tcPr>
            <w:tcW w:w="2644" w:type="dxa"/>
            <w:tcBorders>
              <w:top w:val="single" w:sz="4" w:space="0" w:color="000000"/>
            </w:tcBorders>
            <w:shd w:val="clear" w:color="auto" w:fill="auto"/>
            <w:vAlign w:val="bottom"/>
          </w:tcPr>
          <w:p w14:paraId="416055B2" w14:textId="77777777" w:rsidR="00632A6A" w:rsidRDefault="004553F6">
            <w:pPr>
              <w:jc w:val="center"/>
              <w:rPr>
                <w:sz w:val="24"/>
                <w:szCs w:val="24"/>
              </w:rPr>
            </w:pPr>
            <w:r>
              <w:rPr>
                <w:sz w:val="24"/>
                <w:szCs w:val="24"/>
              </w:rPr>
              <w:t>10868</w:t>
            </w:r>
          </w:p>
        </w:tc>
        <w:tc>
          <w:tcPr>
            <w:tcW w:w="2901" w:type="dxa"/>
            <w:tcBorders>
              <w:top w:val="single" w:sz="4" w:space="0" w:color="000000"/>
            </w:tcBorders>
            <w:shd w:val="clear" w:color="auto" w:fill="auto"/>
            <w:vAlign w:val="bottom"/>
          </w:tcPr>
          <w:p w14:paraId="27C45838" w14:textId="77777777" w:rsidR="00632A6A" w:rsidRDefault="004553F6">
            <w:pPr>
              <w:jc w:val="center"/>
              <w:rPr>
                <w:sz w:val="24"/>
                <w:szCs w:val="24"/>
              </w:rPr>
            </w:pPr>
            <w:r>
              <w:rPr>
                <w:sz w:val="24"/>
                <w:szCs w:val="24"/>
              </w:rPr>
              <w:t>44866</w:t>
            </w:r>
          </w:p>
        </w:tc>
      </w:tr>
      <w:tr w:rsidR="00632A6A" w14:paraId="1F95D456" w14:textId="77777777">
        <w:trPr>
          <w:trHeight w:val="415"/>
        </w:trPr>
        <w:tc>
          <w:tcPr>
            <w:tcW w:w="1134" w:type="dxa"/>
            <w:shd w:val="clear" w:color="auto" w:fill="auto"/>
            <w:vAlign w:val="bottom"/>
          </w:tcPr>
          <w:p w14:paraId="6D96AC76" w14:textId="77777777" w:rsidR="00632A6A" w:rsidRDefault="004553F6">
            <w:pPr>
              <w:jc w:val="center"/>
              <w:rPr>
                <w:sz w:val="24"/>
                <w:szCs w:val="24"/>
              </w:rPr>
            </w:pPr>
            <w:r>
              <w:rPr>
                <w:sz w:val="24"/>
                <w:szCs w:val="24"/>
              </w:rPr>
              <w:t>2013</w:t>
            </w:r>
          </w:p>
        </w:tc>
        <w:tc>
          <w:tcPr>
            <w:tcW w:w="2680" w:type="dxa"/>
            <w:shd w:val="clear" w:color="auto" w:fill="auto"/>
            <w:vAlign w:val="bottom"/>
          </w:tcPr>
          <w:p w14:paraId="48631FC1" w14:textId="77777777" w:rsidR="00632A6A" w:rsidRDefault="004553F6">
            <w:pPr>
              <w:jc w:val="center"/>
              <w:rPr>
                <w:sz w:val="24"/>
                <w:szCs w:val="24"/>
              </w:rPr>
            </w:pPr>
            <w:r>
              <w:rPr>
                <w:sz w:val="24"/>
                <w:szCs w:val="24"/>
              </w:rPr>
              <w:t>39371</w:t>
            </w:r>
          </w:p>
        </w:tc>
        <w:tc>
          <w:tcPr>
            <w:tcW w:w="2644" w:type="dxa"/>
            <w:shd w:val="clear" w:color="auto" w:fill="auto"/>
            <w:vAlign w:val="bottom"/>
          </w:tcPr>
          <w:p w14:paraId="1DC616BE" w14:textId="77777777" w:rsidR="00632A6A" w:rsidRDefault="004553F6">
            <w:pPr>
              <w:jc w:val="center"/>
              <w:rPr>
                <w:sz w:val="24"/>
                <w:szCs w:val="24"/>
              </w:rPr>
            </w:pPr>
            <w:r>
              <w:rPr>
                <w:sz w:val="24"/>
                <w:szCs w:val="24"/>
              </w:rPr>
              <w:t>12044</w:t>
            </w:r>
          </w:p>
        </w:tc>
        <w:tc>
          <w:tcPr>
            <w:tcW w:w="2901" w:type="dxa"/>
            <w:shd w:val="clear" w:color="auto" w:fill="auto"/>
            <w:vAlign w:val="bottom"/>
          </w:tcPr>
          <w:p w14:paraId="53633284" w14:textId="77777777" w:rsidR="00632A6A" w:rsidRDefault="004553F6">
            <w:pPr>
              <w:jc w:val="center"/>
              <w:rPr>
                <w:sz w:val="24"/>
                <w:szCs w:val="24"/>
              </w:rPr>
            </w:pPr>
            <w:r>
              <w:rPr>
                <w:sz w:val="24"/>
                <w:szCs w:val="24"/>
              </w:rPr>
              <w:t>51415</w:t>
            </w:r>
          </w:p>
        </w:tc>
      </w:tr>
      <w:tr w:rsidR="00632A6A" w14:paraId="69367F58" w14:textId="77777777">
        <w:trPr>
          <w:trHeight w:val="415"/>
        </w:trPr>
        <w:tc>
          <w:tcPr>
            <w:tcW w:w="1134" w:type="dxa"/>
            <w:shd w:val="clear" w:color="auto" w:fill="auto"/>
            <w:vAlign w:val="bottom"/>
          </w:tcPr>
          <w:p w14:paraId="51FFADAD" w14:textId="77777777" w:rsidR="00632A6A" w:rsidRDefault="004553F6">
            <w:pPr>
              <w:jc w:val="center"/>
              <w:rPr>
                <w:sz w:val="24"/>
                <w:szCs w:val="24"/>
              </w:rPr>
            </w:pPr>
            <w:r>
              <w:rPr>
                <w:sz w:val="24"/>
                <w:szCs w:val="24"/>
              </w:rPr>
              <w:t>2014</w:t>
            </w:r>
          </w:p>
        </w:tc>
        <w:tc>
          <w:tcPr>
            <w:tcW w:w="2680" w:type="dxa"/>
            <w:shd w:val="clear" w:color="auto" w:fill="auto"/>
            <w:vAlign w:val="bottom"/>
          </w:tcPr>
          <w:p w14:paraId="58B695CC" w14:textId="77777777" w:rsidR="00632A6A" w:rsidRDefault="004553F6">
            <w:pPr>
              <w:jc w:val="center"/>
              <w:rPr>
                <w:sz w:val="24"/>
                <w:szCs w:val="24"/>
              </w:rPr>
            </w:pPr>
            <w:r>
              <w:rPr>
                <w:sz w:val="24"/>
                <w:szCs w:val="24"/>
              </w:rPr>
              <w:t>46935</w:t>
            </w:r>
          </w:p>
        </w:tc>
        <w:tc>
          <w:tcPr>
            <w:tcW w:w="2644" w:type="dxa"/>
            <w:shd w:val="clear" w:color="auto" w:fill="auto"/>
            <w:vAlign w:val="bottom"/>
          </w:tcPr>
          <w:p w14:paraId="6F9D85AE" w14:textId="77777777" w:rsidR="00632A6A" w:rsidRDefault="004553F6">
            <w:pPr>
              <w:jc w:val="center"/>
              <w:rPr>
                <w:sz w:val="24"/>
                <w:szCs w:val="24"/>
              </w:rPr>
            </w:pPr>
            <w:r>
              <w:rPr>
                <w:sz w:val="24"/>
                <w:szCs w:val="24"/>
              </w:rPr>
              <w:t>11300</w:t>
            </w:r>
          </w:p>
        </w:tc>
        <w:tc>
          <w:tcPr>
            <w:tcW w:w="2901" w:type="dxa"/>
            <w:shd w:val="clear" w:color="auto" w:fill="auto"/>
            <w:vAlign w:val="bottom"/>
          </w:tcPr>
          <w:p w14:paraId="091E447F" w14:textId="77777777" w:rsidR="00632A6A" w:rsidRDefault="004553F6">
            <w:pPr>
              <w:jc w:val="center"/>
              <w:rPr>
                <w:sz w:val="24"/>
                <w:szCs w:val="24"/>
              </w:rPr>
            </w:pPr>
            <w:r>
              <w:rPr>
                <w:sz w:val="24"/>
                <w:szCs w:val="24"/>
              </w:rPr>
              <w:t>58235</w:t>
            </w:r>
          </w:p>
        </w:tc>
      </w:tr>
      <w:tr w:rsidR="00632A6A" w14:paraId="5C573785" w14:textId="77777777">
        <w:trPr>
          <w:trHeight w:val="415"/>
        </w:trPr>
        <w:tc>
          <w:tcPr>
            <w:tcW w:w="1134" w:type="dxa"/>
            <w:shd w:val="clear" w:color="auto" w:fill="auto"/>
            <w:vAlign w:val="bottom"/>
          </w:tcPr>
          <w:p w14:paraId="6AC0508C" w14:textId="77777777" w:rsidR="00632A6A" w:rsidRDefault="004553F6">
            <w:pPr>
              <w:jc w:val="center"/>
              <w:rPr>
                <w:sz w:val="24"/>
                <w:szCs w:val="24"/>
              </w:rPr>
            </w:pPr>
            <w:r>
              <w:rPr>
                <w:sz w:val="24"/>
                <w:szCs w:val="24"/>
              </w:rPr>
              <w:t>2015</w:t>
            </w:r>
          </w:p>
        </w:tc>
        <w:tc>
          <w:tcPr>
            <w:tcW w:w="2680" w:type="dxa"/>
            <w:shd w:val="clear" w:color="auto" w:fill="auto"/>
            <w:vAlign w:val="bottom"/>
          </w:tcPr>
          <w:p w14:paraId="6EDEF52E" w14:textId="77777777" w:rsidR="00632A6A" w:rsidRDefault="004553F6">
            <w:pPr>
              <w:jc w:val="center"/>
              <w:rPr>
                <w:sz w:val="24"/>
                <w:szCs w:val="24"/>
              </w:rPr>
            </w:pPr>
            <w:r>
              <w:rPr>
                <w:sz w:val="24"/>
                <w:szCs w:val="24"/>
              </w:rPr>
              <w:t>51994</w:t>
            </w:r>
          </w:p>
        </w:tc>
        <w:tc>
          <w:tcPr>
            <w:tcW w:w="2644" w:type="dxa"/>
            <w:shd w:val="clear" w:color="auto" w:fill="auto"/>
            <w:vAlign w:val="bottom"/>
          </w:tcPr>
          <w:p w14:paraId="7A70DC3F" w14:textId="77777777" w:rsidR="00632A6A" w:rsidRDefault="004553F6">
            <w:pPr>
              <w:jc w:val="center"/>
              <w:rPr>
                <w:sz w:val="24"/>
                <w:szCs w:val="24"/>
              </w:rPr>
            </w:pPr>
            <w:r>
              <w:rPr>
                <w:sz w:val="24"/>
                <w:szCs w:val="24"/>
              </w:rPr>
              <w:t>9813</w:t>
            </w:r>
          </w:p>
        </w:tc>
        <w:tc>
          <w:tcPr>
            <w:tcW w:w="2901" w:type="dxa"/>
            <w:shd w:val="clear" w:color="auto" w:fill="auto"/>
            <w:vAlign w:val="bottom"/>
          </w:tcPr>
          <w:p w14:paraId="56BE4483" w14:textId="77777777" w:rsidR="00632A6A" w:rsidRDefault="004553F6">
            <w:pPr>
              <w:jc w:val="center"/>
              <w:rPr>
                <w:sz w:val="24"/>
                <w:szCs w:val="24"/>
              </w:rPr>
            </w:pPr>
            <w:r>
              <w:rPr>
                <w:sz w:val="24"/>
                <w:szCs w:val="24"/>
              </w:rPr>
              <w:t>61807</w:t>
            </w:r>
          </w:p>
        </w:tc>
      </w:tr>
      <w:tr w:rsidR="00632A6A" w14:paraId="16CFDFBD" w14:textId="77777777">
        <w:trPr>
          <w:trHeight w:val="415"/>
        </w:trPr>
        <w:tc>
          <w:tcPr>
            <w:tcW w:w="1134" w:type="dxa"/>
            <w:shd w:val="clear" w:color="auto" w:fill="auto"/>
            <w:vAlign w:val="bottom"/>
          </w:tcPr>
          <w:p w14:paraId="18F9D2AB" w14:textId="77777777" w:rsidR="00632A6A" w:rsidRDefault="004553F6">
            <w:pPr>
              <w:jc w:val="center"/>
              <w:rPr>
                <w:sz w:val="24"/>
                <w:szCs w:val="24"/>
              </w:rPr>
            </w:pPr>
            <w:r>
              <w:rPr>
                <w:sz w:val="24"/>
                <w:szCs w:val="24"/>
              </w:rPr>
              <w:t>2016</w:t>
            </w:r>
          </w:p>
        </w:tc>
        <w:tc>
          <w:tcPr>
            <w:tcW w:w="2680" w:type="dxa"/>
            <w:shd w:val="clear" w:color="auto" w:fill="auto"/>
            <w:vAlign w:val="bottom"/>
          </w:tcPr>
          <w:p w14:paraId="4313AC6F" w14:textId="77777777" w:rsidR="00632A6A" w:rsidRDefault="004553F6">
            <w:pPr>
              <w:jc w:val="center"/>
              <w:rPr>
                <w:sz w:val="24"/>
                <w:szCs w:val="24"/>
              </w:rPr>
            </w:pPr>
            <w:r>
              <w:rPr>
                <w:sz w:val="24"/>
                <w:szCs w:val="24"/>
              </w:rPr>
              <w:t>48215</w:t>
            </w:r>
          </w:p>
        </w:tc>
        <w:tc>
          <w:tcPr>
            <w:tcW w:w="2644" w:type="dxa"/>
            <w:shd w:val="clear" w:color="auto" w:fill="auto"/>
            <w:vAlign w:val="bottom"/>
          </w:tcPr>
          <w:p w14:paraId="64CAEEA5" w14:textId="77777777" w:rsidR="00632A6A" w:rsidRDefault="004553F6">
            <w:pPr>
              <w:jc w:val="center"/>
              <w:rPr>
                <w:sz w:val="24"/>
                <w:szCs w:val="24"/>
              </w:rPr>
            </w:pPr>
            <w:r>
              <w:rPr>
                <w:sz w:val="24"/>
                <w:szCs w:val="24"/>
              </w:rPr>
              <w:t>7043</w:t>
            </w:r>
          </w:p>
        </w:tc>
        <w:tc>
          <w:tcPr>
            <w:tcW w:w="2901" w:type="dxa"/>
            <w:shd w:val="clear" w:color="auto" w:fill="auto"/>
            <w:vAlign w:val="bottom"/>
          </w:tcPr>
          <w:p w14:paraId="5832255A" w14:textId="77777777" w:rsidR="00632A6A" w:rsidRDefault="004553F6">
            <w:pPr>
              <w:jc w:val="center"/>
              <w:rPr>
                <w:sz w:val="24"/>
                <w:szCs w:val="24"/>
              </w:rPr>
            </w:pPr>
            <w:r>
              <w:rPr>
                <w:sz w:val="24"/>
                <w:szCs w:val="24"/>
              </w:rPr>
              <w:t>55258</w:t>
            </w:r>
          </w:p>
        </w:tc>
      </w:tr>
      <w:tr w:rsidR="00632A6A" w14:paraId="5364B59E" w14:textId="77777777">
        <w:trPr>
          <w:trHeight w:val="415"/>
        </w:trPr>
        <w:tc>
          <w:tcPr>
            <w:tcW w:w="1134" w:type="dxa"/>
            <w:shd w:val="clear" w:color="auto" w:fill="auto"/>
            <w:vAlign w:val="bottom"/>
          </w:tcPr>
          <w:p w14:paraId="3FC71AAB" w14:textId="77777777" w:rsidR="00632A6A" w:rsidRDefault="004553F6">
            <w:pPr>
              <w:jc w:val="center"/>
              <w:rPr>
                <w:sz w:val="24"/>
                <w:szCs w:val="24"/>
              </w:rPr>
            </w:pPr>
            <w:r>
              <w:rPr>
                <w:sz w:val="24"/>
                <w:szCs w:val="24"/>
              </w:rPr>
              <w:t>2017</w:t>
            </w:r>
          </w:p>
        </w:tc>
        <w:tc>
          <w:tcPr>
            <w:tcW w:w="2680" w:type="dxa"/>
            <w:shd w:val="clear" w:color="auto" w:fill="auto"/>
            <w:vAlign w:val="bottom"/>
          </w:tcPr>
          <w:p w14:paraId="5456F720" w14:textId="77777777" w:rsidR="00632A6A" w:rsidRDefault="004553F6">
            <w:pPr>
              <w:jc w:val="center"/>
              <w:rPr>
                <w:sz w:val="24"/>
                <w:szCs w:val="24"/>
              </w:rPr>
            </w:pPr>
            <w:r>
              <w:rPr>
                <w:sz w:val="24"/>
                <w:szCs w:val="24"/>
              </w:rPr>
              <w:t>44212</w:t>
            </w:r>
          </w:p>
        </w:tc>
        <w:tc>
          <w:tcPr>
            <w:tcW w:w="2644" w:type="dxa"/>
            <w:shd w:val="clear" w:color="auto" w:fill="auto"/>
            <w:vAlign w:val="bottom"/>
          </w:tcPr>
          <w:p w14:paraId="27535AC5" w14:textId="77777777" w:rsidR="00632A6A" w:rsidRDefault="004553F6">
            <w:pPr>
              <w:jc w:val="center"/>
              <w:rPr>
                <w:sz w:val="24"/>
                <w:szCs w:val="24"/>
              </w:rPr>
            </w:pPr>
            <w:r>
              <w:rPr>
                <w:sz w:val="24"/>
                <w:szCs w:val="24"/>
              </w:rPr>
              <w:t>8250</w:t>
            </w:r>
          </w:p>
        </w:tc>
        <w:tc>
          <w:tcPr>
            <w:tcW w:w="2901" w:type="dxa"/>
            <w:shd w:val="clear" w:color="auto" w:fill="auto"/>
            <w:vAlign w:val="bottom"/>
          </w:tcPr>
          <w:p w14:paraId="43CE10BB" w14:textId="77777777" w:rsidR="00632A6A" w:rsidRDefault="004553F6">
            <w:pPr>
              <w:jc w:val="center"/>
              <w:rPr>
                <w:sz w:val="24"/>
                <w:szCs w:val="24"/>
              </w:rPr>
            </w:pPr>
            <w:r>
              <w:rPr>
                <w:sz w:val="24"/>
                <w:szCs w:val="24"/>
              </w:rPr>
              <w:t>52462</w:t>
            </w:r>
          </w:p>
        </w:tc>
      </w:tr>
      <w:tr w:rsidR="00632A6A" w14:paraId="50647A03" w14:textId="77777777">
        <w:trPr>
          <w:trHeight w:val="415"/>
        </w:trPr>
        <w:tc>
          <w:tcPr>
            <w:tcW w:w="1134" w:type="dxa"/>
            <w:shd w:val="clear" w:color="auto" w:fill="auto"/>
            <w:vAlign w:val="bottom"/>
          </w:tcPr>
          <w:p w14:paraId="59984683" w14:textId="77777777" w:rsidR="00632A6A" w:rsidRDefault="004553F6">
            <w:pPr>
              <w:jc w:val="center"/>
              <w:rPr>
                <w:sz w:val="24"/>
                <w:szCs w:val="24"/>
              </w:rPr>
            </w:pPr>
            <w:r>
              <w:rPr>
                <w:sz w:val="24"/>
                <w:szCs w:val="24"/>
              </w:rPr>
              <w:t>2018</w:t>
            </w:r>
          </w:p>
        </w:tc>
        <w:tc>
          <w:tcPr>
            <w:tcW w:w="2680" w:type="dxa"/>
            <w:shd w:val="clear" w:color="auto" w:fill="auto"/>
            <w:vAlign w:val="bottom"/>
          </w:tcPr>
          <w:p w14:paraId="41D600CF" w14:textId="77777777" w:rsidR="00632A6A" w:rsidRDefault="004553F6">
            <w:pPr>
              <w:jc w:val="center"/>
              <w:rPr>
                <w:sz w:val="24"/>
                <w:szCs w:val="24"/>
              </w:rPr>
            </w:pPr>
            <w:r>
              <w:rPr>
                <w:sz w:val="24"/>
                <w:szCs w:val="24"/>
              </w:rPr>
              <w:t>51155</w:t>
            </w:r>
          </w:p>
        </w:tc>
        <w:tc>
          <w:tcPr>
            <w:tcW w:w="2644" w:type="dxa"/>
            <w:shd w:val="clear" w:color="auto" w:fill="auto"/>
            <w:vAlign w:val="bottom"/>
          </w:tcPr>
          <w:p w14:paraId="49E9CA48" w14:textId="77777777" w:rsidR="00632A6A" w:rsidRDefault="004553F6">
            <w:pPr>
              <w:jc w:val="center"/>
              <w:rPr>
                <w:sz w:val="24"/>
                <w:szCs w:val="24"/>
              </w:rPr>
            </w:pPr>
            <w:r>
              <w:rPr>
                <w:sz w:val="24"/>
                <w:szCs w:val="24"/>
              </w:rPr>
              <w:t>9162</w:t>
            </w:r>
          </w:p>
        </w:tc>
        <w:tc>
          <w:tcPr>
            <w:tcW w:w="2901" w:type="dxa"/>
            <w:shd w:val="clear" w:color="auto" w:fill="auto"/>
            <w:vAlign w:val="bottom"/>
          </w:tcPr>
          <w:p w14:paraId="29021821" w14:textId="77777777" w:rsidR="00632A6A" w:rsidRDefault="004553F6">
            <w:pPr>
              <w:jc w:val="center"/>
              <w:rPr>
                <w:sz w:val="24"/>
                <w:szCs w:val="24"/>
              </w:rPr>
            </w:pPr>
            <w:r>
              <w:rPr>
                <w:sz w:val="24"/>
                <w:szCs w:val="24"/>
              </w:rPr>
              <w:t>60317</w:t>
            </w:r>
          </w:p>
        </w:tc>
      </w:tr>
      <w:tr w:rsidR="00632A6A" w14:paraId="7CFD7386" w14:textId="77777777">
        <w:trPr>
          <w:trHeight w:val="415"/>
        </w:trPr>
        <w:tc>
          <w:tcPr>
            <w:tcW w:w="1134" w:type="dxa"/>
            <w:tcBorders>
              <w:bottom w:val="single" w:sz="4" w:space="0" w:color="000000"/>
            </w:tcBorders>
            <w:shd w:val="clear" w:color="auto" w:fill="auto"/>
            <w:vAlign w:val="bottom"/>
          </w:tcPr>
          <w:p w14:paraId="39A99EA1" w14:textId="77777777" w:rsidR="00632A6A" w:rsidRDefault="004553F6">
            <w:pPr>
              <w:jc w:val="center"/>
              <w:rPr>
                <w:sz w:val="24"/>
                <w:szCs w:val="24"/>
              </w:rPr>
            </w:pPr>
            <w:r>
              <w:rPr>
                <w:sz w:val="24"/>
                <w:szCs w:val="24"/>
              </w:rPr>
              <w:t>2019</w:t>
            </w:r>
          </w:p>
        </w:tc>
        <w:tc>
          <w:tcPr>
            <w:tcW w:w="2680" w:type="dxa"/>
            <w:tcBorders>
              <w:bottom w:val="single" w:sz="4" w:space="0" w:color="000000"/>
            </w:tcBorders>
            <w:shd w:val="clear" w:color="auto" w:fill="auto"/>
            <w:vAlign w:val="bottom"/>
          </w:tcPr>
          <w:p w14:paraId="3B3762A7" w14:textId="77777777" w:rsidR="00632A6A" w:rsidRDefault="004553F6">
            <w:pPr>
              <w:jc w:val="center"/>
              <w:rPr>
                <w:sz w:val="24"/>
                <w:szCs w:val="24"/>
              </w:rPr>
            </w:pPr>
            <w:r>
              <w:rPr>
                <w:sz w:val="24"/>
                <w:szCs w:val="24"/>
              </w:rPr>
              <w:t>51292</w:t>
            </w:r>
          </w:p>
        </w:tc>
        <w:tc>
          <w:tcPr>
            <w:tcW w:w="2644" w:type="dxa"/>
            <w:tcBorders>
              <w:bottom w:val="single" w:sz="4" w:space="0" w:color="000000"/>
            </w:tcBorders>
            <w:shd w:val="clear" w:color="auto" w:fill="auto"/>
            <w:vAlign w:val="bottom"/>
          </w:tcPr>
          <w:p w14:paraId="56D0642D" w14:textId="77777777" w:rsidR="00632A6A" w:rsidRDefault="004553F6">
            <w:pPr>
              <w:jc w:val="center"/>
              <w:rPr>
                <w:sz w:val="24"/>
                <w:szCs w:val="24"/>
              </w:rPr>
            </w:pPr>
            <w:r>
              <w:rPr>
                <w:sz w:val="24"/>
                <w:szCs w:val="24"/>
              </w:rPr>
              <w:t>9223</w:t>
            </w:r>
          </w:p>
        </w:tc>
        <w:tc>
          <w:tcPr>
            <w:tcW w:w="2901" w:type="dxa"/>
            <w:tcBorders>
              <w:bottom w:val="single" w:sz="4" w:space="0" w:color="000000"/>
            </w:tcBorders>
            <w:shd w:val="clear" w:color="auto" w:fill="auto"/>
            <w:vAlign w:val="bottom"/>
          </w:tcPr>
          <w:p w14:paraId="13A00571" w14:textId="77777777" w:rsidR="00632A6A" w:rsidRDefault="004553F6">
            <w:pPr>
              <w:jc w:val="center"/>
              <w:rPr>
                <w:sz w:val="24"/>
                <w:szCs w:val="24"/>
              </w:rPr>
            </w:pPr>
            <w:r>
              <w:rPr>
                <w:sz w:val="24"/>
                <w:szCs w:val="24"/>
              </w:rPr>
              <w:t>60515</w:t>
            </w:r>
          </w:p>
        </w:tc>
      </w:tr>
    </w:tbl>
    <w:p w14:paraId="2245D3B8" w14:textId="77777777" w:rsidR="00632A6A" w:rsidRDefault="004553F6">
      <w:pPr>
        <w:spacing w:line="360" w:lineRule="auto"/>
        <w:rPr>
          <w:color w:val="000000"/>
        </w:rPr>
      </w:pPr>
      <w:r>
        <w:rPr>
          <w:color w:val="000000"/>
        </w:rPr>
        <w:t>(*) sumatoria de (1) y (2)</w:t>
      </w:r>
    </w:p>
    <w:p w14:paraId="6BD7ED04" w14:textId="77777777" w:rsidR="00632A6A" w:rsidRDefault="004553F6">
      <w:pPr>
        <w:spacing w:line="360" w:lineRule="auto"/>
        <w:rPr>
          <w:color w:val="000000"/>
        </w:rPr>
      </w:pPr>
      <w:r>
        <w:rPr>
          <w:color w:val="000000"/>
        </w:rPr>
        <w:t>Fuente: Adaptado de INEI (2017)</w:t>
      </w:r>
    </w:p>
    <w:p w14:paraId="55ACB4FA" w14:textId="77777777" w:rsidR="00632A6A" w:rsidRDefault="00632A6A">
      <w:pPr>
        <w:pBdr>
          <w:top w:val="nil"/>
          <w:left w:val="nil"/>
          <w:bottom w:val="nil"/>
          <w:right w:val="nil"/>
          <w:between w:val="nil"/>
        </w:pBdr>
        <w:spacing w:line="360" w:lineRule="auto"/>
        <w:ind w:firstLine="357"/>
        <w:jc w:val="both"/>
        <w:rPr>
          <w:b/>
          <w:color w:val="000000"/>
          <w:sz w:val="24"/>
          <w:szCs w:val="24"/>
        </w:rPr>
      </w:pPr>
    </w:p>
    <w:p w14:paraId="5DA7C4D8" w14:textId="647C782A" w:rsidR="00632A6A" w:rsidRDefault="004553F6">
      <w:pPr>
        <w:pBdr>
          <w:top w:val="nil"/>
          <w:left w:val="nil"/>
          <w:bottom w:val="nil"/>
          <w:right w:val="nil"/>
          <w:between w:val="nil"/>
        </w:pBdr>
        <w:spacing w:line="360" w:lineRule="auto"/>
        <w:ind w:firstLine="357"/>
        <w:jc w:val="both"/>
        <w:rPr>
          <w:color w:val="000000"/>
          <w:sz w:val="24"/>
          <w:szCs w:val="24"/>
        </w:rPr>
      </w:pPr>
      <w:bookmarkStart w:id="3" w:name="_1fob9te" w:colFirst="0" w:colLast="0"/>
      <w:bookmarkEnd w:id="3"/>
      <w:r>
        <w:rPr>
          <w:color w:val="000000"/>
          <w:sz w:val="24"/>
          <w:szCs w:val="24"/>
        </w:rPr>
        <w:t xml:space="preserve">Dado la presente investigación </w:t>
      </w:r>
      <w:r w:rsidR="0029394D">
        <w:rPr>
          <w:color w:val="000000"/>
          <w:sz w:val="24"/>
          <w:szCs w:val="24"/>
        </w:rPr>
        <w:t xml:space="preserve">que </w:t>
      </w:r>
      <w:r>
        <w:rPr>
          <w:color w:val="000000"/>
          <w:sz w:val="24"/>
          <w:szCs w:val="24"/>
        </w:rPr>
        <w:t>tiene como</w:t>
      </w:r>
      <w:r w:rsidR="00042E5E">
        <w:rPr>
          <w:color w:val="000000"/>
          <w:sz w:val="24"/>
          <w:szCs w:val="24"/>
        </w:rPr>
        <w:t xml:space="preserve"> objetivo general </w:t>
      </w:r>
      <w:r w:rsidR="000C3B5E">
        <w:rPr>
          <w:color w:val="000000"/>
          <w:sz w:val="24"/>
          <w:szCs w:val="24"/>
        </w:rPr>
        <w:t xml:space="preserve">determinar </w:t>
      </w:r>
      <w:r w:rsidR="00042E5E">
        <w:rPr>
          <w:color w:val="000000"/>
          <w:sz w:val="24"/>
          <w:szCs w:val="24"/>
        </w:rPr>
        <w:t xml:space="preserve">la relación entre la recaudación tributaria y el crecimiento de las MYPES, </w:t>
      </w:r>
      <w:r w:rsidR="000C3B5E">
        <w:rPr>
          <w:color w:val="000000"/>
          <w:sz w:val="24"/>
          <w:szCs w:val="24"/>
        </w:rPr>
        <w:t>de la cual se desprenden los siguientes o</w:t>
      </w:r>
      <w:r w:rsidRPr="006434DF">
        <w:rPr>
          <w:color w:val="000000"/>
          <w:sz w:val="24"/>
          <w:szCs w:val="24"/>
        </w:rPr>
        <w:t>bjetivo</w:t>
      </w:r>
      <w:r w:rsidR="00042E5E">
        <w:rPr>
          <w:color w:val="000000"/>
          <w:sz w:val="24"/>
          <w:szCs w:val="24"/>
        </w:rPr>
        <w:t>s específicos</w:t>
      </w:r>
      <w:r w:rsidR="000C3B5E">
        <w:rPr>
          <w:color w:val="000000"/>
          <w:sz w:val="24"/>
          <w:szCs w:val="24"/>
        </w:rPr>
        <w:t xml:space="preserve">: </w:t>
      </w:r>
      <w:r w:rsidR="00042E5E">
        <w:rPr>
          <w:color w:val="000000"/>
          <w:sz w:val="24"/>
          <w:szCs w:val="24"/>
        </w:rPr>
        <w:t xml:space="preserve">(1) </w:t>
      </w:r>
      <w:r w:rsidR="000C3B5E">
        <w:rPr>
          <w:color w:val="000000"/>
          <w:sz w:val="24"/>
          <w:szCs w:val="24"/>
        </w:rPr>
        <w:t xml:space="preserve">Determinar </w:t>
      </w:r>
      <w:r w:rsidRPr="006434DF">
        <w:rPr>
          <w:color w:val="000000"/>
          <w:sz w:val="24"/>
          <w:szCs w:val="24"/>
        </w:rPr>
        <w:t>la</w:t>
      </w:r>
      <w:r w:rsidR="006434DF" w:rsidRPr="006434DF">
        <w:rPr>
          <w:color w:val="000000"/>
          <w:sz w:val="24"/>
          <w:szCs w:val="24"/>
        </w:rPr>
        <w:t xml:space="preserve"> relación </w:t>
      </w:r>
      <w:r w:rsidR="006434DF">
        <w:rPr>
          <w:color w:val="000000"/>
          <w:sz w:val="24"/>
          <w:szCs w:val="24"/>
        </w:rPr>
        <w:t>entre</w:t>
      </w:r>
      <w:r w:rsidRPr="006434DF">
        <w:rPr>
          <w:color w:val="000000"/>
          <w:sz w:val="24"/>
          <w:szCs w:val="24"/>
        </w:rPr>
        <w:t xml:space="preserve"> la</w:t>
      </w:r>
      <w:r w:rsidR="006434DF">
        <w:rPr>
          <w:color w:val="000000"/>
          <w:sz w:val="24"/>
          <w:szCs w:val="24"/>
        </w:rPr>
        <w:t xml:space="preserve"> recaudación tributaria y la</w:t>
      </w:r>
      <w:r w:rsidRPr="006434DF">
        <w:rPr>
          <w:color w:val="000000"/>
          <w:sz w:val="24"/>
          <w:szCs w:val="24"/>
        </w:rPr>
        <w:t xml:space="preserve"> informalidad de las MYPES</w:t>
      </w:r>
      <w:r w:rsidR="006434DF">
        <w:rPr>
          <w:color w:val="000000"/>
          <w:sz w:val="24"/>
          <w:szCs w:val="24"/>
        </w:rPr>
        <w:t xml:space="preserve">; y </w:t>
      </w:r>
      <w:r w:rsidR="00042E5E">
        <w:rPr>
          <w:color w:val="000000"/>
          <w:sz w:val="24"/>
          <w:szCs w:val="24"/>
        </w:rPr>
        <w:t xml:space="preserve">(2) </w:t>
      </w:r>
      <w:r w:rsidR="000C3B5E">
        <w:rPr>
          <w:color w:val="000000"/>
          <w:sz w:val="24"/>
          <w:szCs w:val="24"/>
        </w:rPr>
        <w:t xml:space="preserve">Determinar </w:t>
      </w:r>
      <w:r w:rsidR="006434DF">
        <w:rPr>
          <w:color w:val="000000"/>
          <w:sz w:val="24"/>
          <w:szCs w:val="24"/>
        </w:rPr>
        <w:t>la relación entre la recaudación tributaria</w:t>
      </w:r>
      <w:r w:rsidRPr="006434DF">
        <w:rPr>
          <w:color w:val="000000"/>
          <w:sz w:val="24"/>
          <w:szCs w:val="24"/>
        </w:rPr>
        <w:t xml:space="preserve"> y el nivel de educación superior (titulados)</w:t>
      </w:r>
      <w:r w:rsidR="00042E5E">
        <w:rPr>
          <w:color w:val="000000"/>
          <w:sz w:val="24"/>
          <w:szCs w:val="24"/>
        </w:rPr>
        <w:t xml:space="preserve"> </w:t>
      </w:r>
      <w:r w:rsidR="0029394D">
        <w:rPr>
          <w:color w:val="000000"/>
          <w:sz w:val="24"/>
          <w:szCs w:val="24"/>
        </w:rPr>
        <w:t>para</w:t>
      </w:r>
      <w:r w:rsidRPr="006434DF">
        <w:rPr>
          <w:color w:val="000000"/>
          <w:sz w:val="24"/>
          <w:szCs w:val="24"/>
        </w:rPr>
        <w:t xml:space="preserve"> el período 2012-2019</w:t>
      </w:r>
      <w:r w:rsidR="0029394D">
        <w:rPr>
          <w:color w:val="000000"/>
          <w:sz w:val="24"/>
          <w:szCs w:val="24"/>
        </w:rPr>
        <w:t>; a modo de resumen</w:t>
      </w:r>
      <w:r w:rsidRPr="006434DF">
        <w:rPr>
          <w:color w:val="000000"/>
          <w:sz w:val="24"/>
          <w:szCs w:val="24"/>
        </w:rPr>
        <w:t xml:space="preserve"> se </w:t>
      </w:r>
      <w:r w:rsidR="0029394D">
        <w:rPr>
          <w:color w:val="000000"/>
          <w:sz w:val="24"/>
          <w:szCs w:val="24"/>
        </w:rPr>
        <w:t>realizó</w:t>
      </w:r>
      <w:r w:rsidRPr="006434DF">
        <w:rPr>
          <w:color w:val="000000"/>
          <w:sz w:val="24"/>
          <w:szCs w:val="24"/>
        </w:rPr>
        <w:t xml:space="preserve"> </w:t>
      </w:r>
      <w:r w:rsidR="006434DF" w:rsidRPr="006434DF">
        <w:rPr>
          <w:color w:val="000000"/>
          <w:sz w:val="24"/>
          <w:szCs w:val="24"/>
        </w:rPr>
        <w:t>el</w:t>
      </w:r>
      <w:r w:rsidRPr="006434DF">
        <w:rPr>
          <w:color w:val="000000"/>
          <w:sz w:val="24"/>
          <w:szCs w:val="24"/>
        </w:rPr>
        <w:t xml:space="preserve"> </w:t>
      </w:r>
      <w:r w:rsidR="0029394D">
        <w:rPr>
          <w:color w:val="000000"/>
          <w:sz w:val="24"/>
          <w:szCs w:val="24"/>
        </w:rPr>
        <w:t xml:space="preserve">siguiente </w:t>
      </w:r>
      <w:r w:rsidRPr="006434DF">
        <w:rPr>
          <w:color w:val="000000"/>
          <w:sz w:val="24"/>
          <w:szCs w:val="24"/>
        </w:rPr>
        <w:t>consolidado de datos</w:t>
      </w:r>
      <w:r w:rsidR="006434DF" w:rsidRPr="006434DF">
        <w:rPr>
          <w:color w:val="000000"/>
          <w:sz w:val="24"/>
          <w:szCs w:val="24"/>
        </w:rPr>
        <w:t xml:space="preserve"> </w:t>
      </w:r>
      <w:r w:rsidR="0029394D">
        <w:rPr>
          <w:color w:val="000000"/>
          <w:sz w:val="24"/>
          <w:szCs w:val="24"/>
        </w:rPr>
        <w:t xml:space="preserve">mostrado </w:t>
      </w:r>
      <w:r w:rsidR="006434DF" w:rsidRPr="006434DF">
        <w:rPr>
          <w:color w:val="000000"/>
          <w:sz w:val="24"/>
          <w:szCs w:val="24"/>
        </w:rPr>
        <w:t>en</w:t>
      </w:r>
      <w:r w:rsidR="006434DF">
        <w:rPr>
          <w:color w:val="000000"/>
          <w:sz w:val="24"/>
          <w:szCs w:val="24"/>
        </w:rPr>
        <w:t xml:space="preserve"> la Tabla 6</w:t>
      </w:r>
      <w:r w:rsidR="0029394D">
        <w:rPr>
          <w:color w:val="000000"/>
          <w:sz w:val="24"/>
          <w:szCs w:val="24"/>
        </w:rPr>
        <w:t xml:space="preserve"> que presenta las variables usadas para los objetivos de la investigación. Las variables son recaudación tributaria (millones de soles), </w:t>
      </w:r>
      <w:r w:rsidR="008E154F">
        <w:rPr>
          <w:color w:val="000000"/>
          <w:sz w:val="24"/>
          <w:szCs w:val="24"/>
        </w:rPr>
        <w:t>número de MYPES totales e informales y número de personas con educación superior culminada.</w:t>
      </w:r>
    </w:p>
    <w:p w14:paraId="2727D802" w14:textId="3E967D99" w:rsidR="00042E5E" w:rsidRDefault="00042E5E">
      <w:pPr>
        <w:pBdr>
          <w:top w:val="nil"/>
          <w:left w:val="nil"/>
          <w:bottom w:val="nil"/>
          <w:right w:val="nil"/>
          <w:between w:val="nil"/>
        </w:pBdr>
        <w:spacing w:line="360" w:lineRule="auto"/>
        <w:ind w:firstLine="357"/>
        <w:jc w:val="both"/>
        <w:rPr>
          <w:color w:val="000000"/>
          <w:sz w:val="24"/>
          <w:szCs w:val="24"/>
        </w:rPr>
      </w:pPr>
    </w:p>
    <w:p w14:paraId="2E5D2B41" w14:textId="475119D4" w:rsidR="00042E5E" w:rsidRDefault="00042E5E">
      <w:pPr>
        <w:pBdr>
          <w:top w:val="nil"/>
          <w:left w:val="nil"/>
          <w:bottom w:val="nil"/>
          <w:right w:val="nil"/>
          <w:between w:val="nil"/>
        </w:pBdr>
        <w:spacing w:line="360" w:lineRule="auto"/>
        <w:ind w:firstLine="357"/>
        <w:jc w:val="both"/>
        <w:rPr>
          <w:color w:val="000000"/>
          <w:sz w:val="24"/>
          <w:szCs w:val="24"/>
        </w:rPr>
      </w:pPr>
    </w:p>
    <w:p w14:paraId="0D58C338" w14:textId="77777777" w:rsidR="00042E5E" w:rsidRDefault="00042E5E">
      <w:pPr>
        <w:pBdr>
          <w:top w:val="nil"/>
          <w:left w:val="nil"/>
          <w:bottom w:val="nil"/>
          <w:right w:val="nil"/>
          <w:between w:val="nil"/>
        </w:pBdr>
        <w:spacing w:line="360" w:lineRule="auto"/>
        <w:ind w:firstLine="357"/>
        <w:jc w:val="both"/>
        <w:rPr>
          <w:color w:val="000000"/>
          <w:sz w:val="24"/>
          <w:szCs w:val="24"/>
        </w:rPr>
      </w:pPr>
    </w:p>
    <w:p w14:paraId="08376D23" w14:textId="77777777" w:rsidR="00632A6A" w:rsidRDefault="00632A6A">
      <w:pPr>
        <w:pBdr>
          <w:top w:val="nil"/>
          <w:left w:val="nil"/>
          <w:bottom w:val="nil"/>
          <w:right w:val="nil"/>
          <w:between w:val="nil"/>
        </w:pBdr>
        <w:spacing w:line="360" w:lineRule="auto"/>
        <w:rPr>
          <w:color w:val="000000"/>
          <w:sz w:val="24"/>
          <w:szCs w:val="24"/>
        </w:rPr>
      </w:pPr>
    </w:p>
    <w:p w14:paraId="516282F3" w14:textId="77777777" w:rsidR="00632A6A" w:rsidRDefault="004553F6">
      <w:pPr>
        <w:pBdr>
          <w:top w:val="nil"/>
          <w:left w:val="nil"/>
          <w:bottom w:val="nil"/>
          <w:right w:val="nil"/>
          <w:between w:val="nil"/>
        </w:pBdr>
        <w:spacing w:line="360" w:lineRule="auto"/>
        <w:rPr>
          <w:i/>
          <w:color w:val="000000"/>
          <w:sz w:val="24"/>
          <w:szCs w:val="24"/>
        </w:rPr>
      </w:pPr>
      <w:r>
        <w:rPr>
          <w:color w:val="000000"/>
          <w:sz w:val="24"/>
          <w:szCs w:val="24"/>
        </w:rPr>
        <w:t>Tabla 6</w:t>
      </w:r>
      <w:r>
        <w:rPr>
          <w:b/>
          <w:color w:val="000000"/>
          <w:sz w:val="24"/>
          <w:szCs w:val="24"/>
        </w:rPr>
        <w:br/>
      </w:r>
      <w:r>
        <w:rPr>
          <w:i/>
          <w:color w:val="000000"/>
          <w:sz w:val="24"/>
          <w:szCs w:val="24"/>
        </w:rPr>
        <w:t xml:space="preserve"> Información consolidada de la investigación</w:t>
      </w:r>
    </w:p>
    <w:tbl>
      <w:tblPr>
        <w:tblStyle w:val="a4"/>
        <w:tblW w:w="9154" w:type="dxa"/>
        <w:tblInd w:w="0" w:type="dxa"/>
        <w:tblLayout w:type="fixed"/>
        <w:tblLook w:val="0400" w:firstRow="0" w:lastRow="0" w:firstColumn="0" w:lastColumn="0" w:noHBand="0" w:noVBand="1"/>
      </w:tblPr>
      <w:tblGrid>
        <w:gridCol w:w="773"/>
        <w:gridCol w:w="2204"/>
        <w:gridCol w:w="2204"/>
        <w:gridCol w:w="2126"/>
        <w:gridCol w:w="1847"/>
      </w:tblGrid>
      <w:tr w:rsidR="00632A6A" w14:paraId="2914DF0B" w14:textId="77777777">
        <w:trPr>
          <w:trHeight w:val="461"/>
        </w:trPr>
        <w:tc>
          <w:tcPr>
            <w:tcW w:w="773" w:type="dxa"/>
            <w:tcBorders>
              <w:top w:val="single" w:sz="4" w:space="0" w:color="000000"/>
              <w:bottom w:val="single" w:sz="4" w:space="0" w:color="000000"/>
            </w:tcBorders>
            <w:shd w:val="clear" w:color="auto" w:fill="FFFFFF"/>
            <w:vAlign w:val="center"/>
          </w:tcPr>
          <w:p w14:paraId="4B4676B3" w14:textId="77777777" w:rsidR="00632A6A" w:rsidRDefault="004553F6">
            <w:pPr>
              <w:spacing w:line="276" w:lineRule="auto"/>
              <w:jc w:val="center"/>
              <w:rPr>
                <w:sz w:val="24"/>
                <w:szCs w:val="24"/>
              </w:rPr>
            </w:pPr>
            <w:r>
              <w:rPr>
                <w:sz w:val="24"/>
                <w:szCs w:val="24"/>
              </w:rPr>
              <w:t>Año</w:t>
            </w:r>
          </w:p>
        </w:tc>
        <w:tc>
          <w:tcPr>
            <w:tcW w:w="2204" w:type="dxa"/>
            <w:tcBorders>
              <w:top w:val="single" w:sz="4" w:space="0" w:color="000000"/>
              <w:bottom w:val="single" w:sz="4" w:space="0" w:color="000000"/>
            </w:tcBorders>
            <w:shd w:val="clear" w:color="auto" w:fill="FFFFFF"/>
            <w:vAlign w:val="center"/>
          </w:tcPr>
          <w:p w14:paraId="6944835F" w14:textId="77777777" w:rsidR="00632A6A" w:rsidRDefault="004553F6">
            <w:pPr>
              <w:spacing w:line="276" w:lineRule="auto"/>
              <w:jc w:val="center"/>
              <w:rPr>
                <w:sz w:val="24"/>
                <w:szCs w:val="24"/>
              </w:rPr>
            </w:pPr>
            <w:r>
              <w:rPr>
                <w:sz w:val="24"/>
                <w:szCs w:val="24"/>
              </w:rPr>
              <w:t>Recaudación tributaria (millones de soles)</w:t>
            </w:r>
          </w:p>
        </w:tc>
        <w:tc>
          <w:tcPr>
            <w:tcW w:w="2204" w:type="dxa"/>
            <w:tcBorders>
              <w:top w:val="single" w:sz="4" w:space="0" w:color="000000"/>
              <w:bottom w:val="single" w:sz="4" w:space="0" w:color="000000"/>
            </w:tcBorders>
            <w:shd w:val="clear" w:color="auto" w:fill="FFFFFF"/>
            <w:vAlign w:val="center"/>
          </w:tcPr>
          <w:p w14:paraId="0470C542" w14:textId="77777777" w:rsidR="00632A6A" w:rsidRDefault="004553F6">
            <w:pPr>
              <w:spacing w:line="276" w:lineRule="auto"/>
              <w:jc w:val="center"/>
              <w:rPr>
                <w:sz w:val="24"/>
                <w:szCs w:val="24"/>
              </w:rPr>
            </w:pPr>
            <w:r>
              <w:rPr>
                <w:sz w:val="24"/>
                <w:szCs w:val="24"/>
              </w:rPr>
              <w:t>MYPES totales</w:t>
            </w:r>
          </w:p>
        </w:tc>
        <w:tc>
          <w:tcPr>
            <w:tcW w:w="2126" w:type="dxa"/>
            <w:tcBorders>
              <w:top w:val="single" w:sz="4" w:space="0" w:color="000000"/>
              <w:bottom w:val="single" w:sz="4" w:space="0" w:color="000000"/>
            </w:tcBorders>
            <w:shd w:val="clear" w:color="auto" w:fill="FFFFFF"/>
            <w:vAlign w:val="center"/>
          </w:tcPr>
          <w:p w14:paraId="754C1E1C" w14:textId="77777777" w:rsidR="00632A6A" w:rsidRDefault="004553F6">
            <w:pPr>
              <w:spacing w:line="276" w:lineRule="auto"/>
              <w:jc w:val="center"/>
              <w:rPr>
                <w:sz w:val="24"/>
                <w:szCs w:val="24"/>
              </w:rPr>
            </w:pPr>
            <w:r>
              <w:rPr>
                <w:sz w:val="24"/>
                <w:szCs w:val="24"/>
              </w:rPr>
              <w:t>MYPES informales</w:t>
            </w:r>
          </w:p>
        </w:tc>
        <w:tc>
          <w:tcPr>
            <w:tcW w:w="1847" w:type="dxa"/>
            <w:tcBorders>
              <w:top w:val="single" w:sz="4" w:space="0" w:color="000000"/>
              <w:bottom w:val="single" w:sz="4" w:space="0" w:color="000000"/>
            </w:tcBorders>
            <w:vAlign w:val="center"/>
          </w:tcPr>
          <w:p w14:paraId="042C0DAA" w14:textId="332AADDE" w:rsidR="00632A6A" w:rsidRDefault="004553F6">
            <w:pPr>
              <w:spacing w:line="276" w:lineRule="auto"/>
              <w:jc w:val="center"/>
              <w:rPr>
                <w:sz w:val="24"/>
                <w:szCs w:val="24"/>
              </w:rPr>
            </w:pPr>
            <w:r>
              <w:rPr>
                <w:sz w:val="24"/>
                <w:szCs w:val="24"/>
              </w:rPr>
              <w:t>Población con Educación Superior</w:t>
            </w:r>
          </w:p>
        </w:tc>
      </w:tr>
      <w:tr w:rsidR="00632A6A" w14:paraId="6F523546" w14:textId="77777777">
        <w:trPr>
          <w:trHeight w:val="106"/>
        </w:trPr>
        <w:tc>
          <w:tcPr>
            <w:tcW w:w="773" w:type="dxa"/>
            <w:tcBorders>
              <w:top w:val="single" w:sz="4" w:space="0" w:color="000000"/>
            </w:tcBorders>
            <w:shd w:val="clear" w:color="auto" w:fill="FFFFFF"/>
            <w:vAlign w:val="bottom"/>
          </w:tcPr>
          <w:p w14:paraId="20BD69E3" w14:textId="77777777" w:rsidR="00632A6A" w:rsidRDefault="004553F6">
            <w:pPr>
              <w:spacing w:line="276" w:lineRule="auto"/>
              <w:jc w:val="center"/>
              <w:rPr>
                <w:sz w:val="24"/>
                <w:szCs w:val="24"/>
              </w:rPr>
            </w:pPr>
            <w:r>
              <w:rPr>
                <w:sz w:val="24"/>
                <w:szCs w:val="24"/>
              </w:rPr>
              <w:t>2012</w:t>
            </w:r>
          </w:p>
        </w:tc>
        <w:tc>
          <w:tcPr>
            <w:tcW w:w="2204" w:type="dxa"/>
            <w:tcBorders>
              <w:top w:val="single" w:sz="4" w:space="0" w:color="000000"/>
            </w:tcBorders>
            <w:shd w:val="clear" w:color="auto" w:fill="FFFFFF"/>
            <w:vAlign w:val="bottom"/>
          </w:tcPr>
          <w:p w14:paraId="1D93E87B" w14:textId="77777777" w:rsidR="00632A6A" w:rsidRDefault="004553F6">
            <w:pPr>
              <w:spacing w:line="276" w:lineRule="auto"/>
              <w:jc w:val="center"/>
              <w:rPr>
                <w:sz w:val="24"/>
                <w:szCs w:val="24"/>
              </w:rPr>
            </w:pPr>
            <w:r>
              <w:rPr>
                <w:sz w:val="24"/>
                <w:szCs w:val="24"/>
              </w:rPr>
              <w:t>59,762</w:t>
            </w:r>
          </w:p>
        </w:tc>
        <w:tc>
          <w:tcPr>
            <w:tcW w:w="2204" w:type="dxa"/>
            <w:tcBorders>
              <w:top w:val="single" w:sz="4" w:space="0" w:color="000000"/>
            </w:tcBorders>
            <w:shd w:val="clear" w:color="auto" w:fill="FFFFFF"/>
          </w:tcPr>
          <w:p w14:paraId="4E4A874E" w14:textId="77777777" w:rsidR="00632A6A" w:rsidRDefault="004553F6">
            <w:pPr>
              <w:spacing w:line="276" w:lineRule="auto"/>
              <w:jc w:val="center"/>
              <w:rPr>
                <w:sz w:val="22"/>
                <w:szCs w:val="22"/>
              </w:rPr>
            </w:pPr>
            <w:r>
              <w:rPr>
                <w:sz w:val="22"/>
                <w:szCs w:val="22"/>
              </w:rPr>
              <w:t>80389</w:t>
            </w:r>
          </w:p>
        </w:tc>
        <w:tc>
          <w:tcPr>
            <w:tcW w:w="2126" w:type="dxa"/>
            <w:tcBorders>
              <w:top w:val="single" w:sz="4" w:space="0" w:color="000000"/>
            </w:tcBorders>
            <w:shd w:val="clear" w:color="auto" w:fill="FFFFFF"/>
            <w:vAlign w:val="bottom"/>
          </w:tcPr>
          <w:p w14:paraId="1C35A643" w14:textId="77777777" w:rsidR="00632A6A" w:rsidRDefault="004553F6">
            <w:pPr>
              <w:spacing w:line="276" w:lineRule="auto"/>
              <w:jc w:val="center"/>
              <w:rPr>
                <w:sz w:val="24"/>
                <w:szCs w:val="24"/>
              </w:rPr>
            </w:pPr>
            <w:r>
              <w:rPr>
                <w:sz w:val="24"/>
                <w:szCs w:val="24"/>
              </w:rPr>
              <w:t>25295</w:t>
            </w:r>
          </w:p>
        </w:tc>
        <w:tc>
          <w:tcPr>
            <w:tcW w:w="1847" w:type="dxa"/>
            <w:tcBorders>
              <w:top w:val="single" w:sz="4" w:space="0" w:color="000000"/>
            </w:tcBorders>
            <w:vAlign w:val="bottom"/>
          </w:tcPr>
          <w:p w14:paraId="51381388" w14:textId="77777777" w:rsidR="00632A6A" w:rsidRDefault="004553F6">
            <w:pPr>
              <w:spacing w:line="276" w:lineRule="auto"/>
              <w:jc w:val="center"/>
              <w:rPr>
                <w:sz w:val="24"/>
                <w:szCs w:val="24"/>
              </w:rPr>
            </w:pPr>
            <w:r>
              <w:rPr>
                <w:sz w:val="24"/>
                <w:szCs w:val="24"/>
              </w:rPr>
              <w:t>44866</w:t>
            </w:r>
          </w:p>
        </w:tc>
      </w:tr>
      <w:tr w:rsidR="00632A6A" w14:paraId="63FD37A1" w14:textId="77777777">
        <w:trPr>
          <w:trHeight w:val="299"/>
        </w:trPr>
        <w:tc>
          <w:tcPr>
            <w:tcW w:w="773" w:type="dxa"/>
            <w:shd w:val="clear" w:color="auto" w:fill="FFFFFF"/>
            <w:vAlign w:val="bottom"/>
          </w:tcPr>
          <w:p w14:paraId="3FD2BBB6" w14:textId="77777777" w:rsidR="00632A6A" w:rsidRDefault="004553F6">
            <w:pPr>
              <w:spacing w:line="276" w:lineRule="auto"/>
              <w:jc w:val="center"/>
              <w:rPr>
                <w:sz w:val="24"/>
                <w:szCs w:val="24"/>
              </w:rPr>
            </w:pPr>
            <w:r>
              <w:rPr>
                <w:sz w:val="24"/>
                <w:szCs w:val="24"/>
              </w:rPr>
              <w:t>2013</w:t>
            </w:r>
          </w:p>
        </w:tc>
        <w:tc>
          <w:tcPr>
            <w:tcW w:w="2204" w:type="dxa"/>
            <w:shd w:val="clear" w:color="auto" w:fill="FFFFFF"/>
            <w:vAlign w:val="bottom"/>
          </w:tcPr>
          <w:p w14:paraId="12780392" w14:textId="77777777" w:rsidR="00632A6A" w:rsidRDefault="004553F6">
            <w:pPr>
              <w:spacing w:line="276" w:lineRule="auto"/>
              <w:jc w:val="center"/>
              <w:rPr>
                <w:sz w:val="24"/>
                <w:szCs w:val="24"/>
              </w:rPr>
            </w:pPr>
            <w:r>
              <w:rPr>
                <w:sz w:val="24"/>
                <w:szCs w:val="24"/>
              </w:rPr>
              <w:t>63,711</w:t>
            </w:r>
          </w:p>
        </w:tc>
        <w:tc>
          <w:tcPr>
            <w:tcW w:w="2204" w:type="dxa"/>
            <w:shd w:val="clear" w:color="auto" w:fill="FFFFFF"/>
          </w:tcPr>
          <w:p w14:paraId="212DB256" w14:textId="77777777" w:rsidR="00632A6A" w:rsidRDefault="004553F6">
            <w:pPr>
              <w:spacing w:line="276" w:lineRule="auto"/>
              <w:jc w:val="center"/>
              <w:rPr>
                <w:sz w:val="22"/>
                <w:szCs w:val="22"/>
              </w:rPr>
            </w:pPr>
            <w:r>
              <w:rPr>
                <w:sz w:val="22"/>
                <w:szCs w:val="22"/>
              </w:rPr>
              <w:t>82438</w:t>
            </w:r>
          </w:p>
        </w:tc>
        <w:tc>
          <w:tcPr>
            <w:tcW w:w="2126" w:type="dxa"/>
            <w:shd w:val="clear" w:color="auto" w:fill="FFFFFF"/>
            <w:vAlign w:val="bottom"/>
          </w:tcPr>
          <w:p w14:paraId="711F4CDB" w14:textId="77777777" w:rsidR="00632A6A" w:rsidRDefault="004553F6">
            <w:pPr>
              <w:spacing w:line="276" w:lineRule="auto"/>
              <w:jc w:val="center"/>
              <w:rPr>
                <w:sz w:val="24"/>
                <w:szCs w:val="24"/>
              </w:rPr>
            </w:pPr>
            <w:r>
              <w:rPr>
                <w:sz w:val="24"/>
                <w:szCs w:val="24"/>
              </w:rPr>
              <w:t>16532</w:t>
            </w:r>
          </w:p>
        </w:tc>
        <w:tc>
          <w:tcPr>
            <w:tcW w:w="1847" w:type="dxa"/>
            <w:vAlign w:val="bottom"/>
          </w:tcPr>
          <w:p w14:paraId="58D44F90" w14:textId="77777777" w:rsidR="00632A6A" w:rsidRDefault="004553F6">
            <w:pPr>
              <w:spacing w:line="276" w:lineRule="auto"/>
              <w:jc w:val="center"/>
              <w:rPr>
                <w:sz w:val="24"/>
                <w:szCs w:val="24"/>
              </w:rPr>
            </w:pPr>
            <w:r>
              <w:rPr>
                <w:sz w:val="24"/>
                <w:szCs w:val="24"/>
              </w:rPr>
              <w:t>51415</w:t>
            </w:r>
          </w:p>
        </w:tc>
      </w:tr>
      <w:tr w:rsidR="00632A6A" w14:paraId="240F2365" w14:textId="77777777">
        <w:trPr>
          <w:trHeight w:val="106"/>
        </w:trPr>
        <w:tc>
          <w:tcPr>
            <w:tcW w:w="773" w:type="dxa"/>
            <w:shd w:val="clear" w:color="auto" w:fill="FFFFFF"/>
            <w:vAlign w:val="bottom"/>
          </w:tcPr>
          <w:p w14:paraId="044C000C" w14:textId="77777777" w:rsidR="00632A6A" w:rsidRDefault="004553F6">
            <w:pPr>
              <w:spacing w:line="276" w:lineRule="auto"/>
              <w:jc w:val="center"/>
              <w:rPr>
                <w:sz w:val="24"/>
                <w:szCs w:val="24"/>
              </w:rPr>
            </w:pPr>
            <w:r>
              <w:rPr>
                <w:sz w:val="24"/>
                <w:szCs w:val="24"/>
              </w:rPr>
              <w:t>2014</w:t>
            </w:r>
          </w:p>
        </w:tc>
        <w:tc>
          <w:tcPr>
            <w:tcW w:w="2204" w:type="dxa"/>
            <w:shd w:val="clear" w:color="auto" w:fill="FFFFFF"/>
            <w:vAlign w:val="bottom"/>
          </w:tcPr>
          <w:p w14:paraId="72AA76B1" w14:textId="77777777" w:rsidR="00632A6A" w:rsidRDefault="004553F6">
            <w:pPr>
              <w:spacing w:line="276" w:lineRule="auto"/>
              <w:jc w:val="center"/>
              <w:rPr>
                <w:sz w:val="24"/>
                <w:szCs w:val="24"/>
              </w:rPr>
            </w:pPr>
            <w:r>
              <w:rPr>
                <w:sz w:val="24"/>
                <w:szCs w:val="24"/>
              </w:rPr>
              <w:t>67,468</w:t>
            </w:r>
          </w:p>
        </w:tc>
        <w:tc>
          <w:tcPr>
            <w:tcW w:w="2204" w:type="dxa"/>
            <w:shd w:val="clear" w:color="auto" w:fill="FFFFFF"/>
          </w:tcPr>
          <w:p w14:paraId="10985632" w14:textId="77777777" w:rsidR="00632A6A" w:rsidRDefault="004553F6">
            <w:pPr>
              <w:spacing w:line="276" w:lineRule="auto"/>
              <w:jc w:val="center"/>
              <w:rPr>
                <w:sz w:val="22"/>
                <w:szCs w:val="22"/>
              </w:rPr>
            </w:pPr>
            <w:r>
              <w:rPr>
                <w:sz w:val="22"/>
                <w:szCs w:val="22"/>
              </w:rPr>
              <w:t>84285</w:t>
            </w:r>
          </w:p>
        </w:tc>
        <w:tc>
          <w:tcPr>
            <w:tcW w:w="2126" w:type="dxa"/>
            <w:shd w:val="clear" w:color="auto" w:fill="FFFFFF"/>
            <w:vAlign w:val="bottom"/>
          </w:tcPr>
          <w:p w14:paraId="3F2F733D" w14:textId="77777777" w:rsidR="00632A6A" w:rsidRDefault="004553F6">
            <w:pPr>
              <w:spacing w:line="276" w:lineRule="auto"/>
              <w:jc w:val="center"/>
              <w:rPr>
                <w:sz w:val="24"/>
                <w:szCs w:val="24"/>
              </w:rPr>
            </w:pPr>
            <w:r>
              <w:rPr>
                <w:sz w:val="24"/>
                <w:szCs w:val="24"/>
              </w:rPr>
              <w:t>19674</w:t>
            </w:r>
          </w:p>
        </w:tc>
        <w:tc>
          <w:tcPr>
            <w:tcW w:w="1847" w:type="dxa"/>
            <w:vAlign w:val="bottom"/>
          </w:tcPr>
          <w:p w14:paraId="1A64B20C" w14:textId="77777777" w:rsidR="00632A6A" w:rsidRDefault="004553F6">
            <w:pPr>
              <w:spacing w:line="276" w:lineRule="auto"/>
              <w:jc w:val="center"/>
              <w:rPr>
                <w:sz w:val="24"/>
                <w:szCs w:val="24"/>
              </w:rPr>
            </w:pPr>
            <w:r>
              <w:rPr>
                <w:sz w:val="24"/>
                <w:szCs w:val="24"/>
              </w:rPr>
              <w:t>58235</w:t>
            </w:r>
          </w:p>
        </w:tc>
      </w:tr>
      <w:tr w:rsidR="00632A6A" w14:paraId="71CDC110" w14:textId="77777777">
        <w:trPr>
          <w:trHeight w:val="106"/>
        </w:trPr>
        <w:tc>
          <w:tcPr>
            <w:tcW w:w="773" w:type="dxa"/>
            <w:shd w:val="clear" w:color="auto" w:fill="FFFFFF"/>
            <w:vAlign w:val="bottom"/>
          </w:tcPr>
          <w:p w14:paraId="73CD9389" w14:textId="77777777" w:rsidR="00632A6A" w:rsidRDefault="004553F6">
            <w:pPr>
              <w:spacing w:line="276" w:lineRule="auto"/>
              <w:jc w:val="center"/>
              <w:rPr>
                <w:sz w:val="24"/>
                <w:szCs w:val="24"/>
              </w:rPr>
            </w:pPr>
            <w:r>
              <w:rPr>
                <w:sz w:val="24"/>
                <w:szCs w:val="24"/>
              </w:rPr>
              <w:t>2015</w:t>
            </w:r>
          </w:p>
        </w:tc>
        <w:tc>
          <w:tcPr>
            <w:tcW w:w="2204" w:type="dxa"/>
            <w:shd w:val="clear" w:color="auto" w:fill="FFFFFF"/>
            <w:vAlign w:val="bottom"/>
          </w:tcPr>
          <w:p w14:paraId="30A1D14D" w14:textId="77777777" w:rsidR="00632A6A" w:rsidRDefault="004553F6">
            <w:pPr>
              <w:spacing w:line="276" w:lineRule="auto"/>
              <w:jc w:val="center"/>
              <w:rPr>
                <w:sz w:val="24"/>
                <w:szCs w:val="24"/>
              </w:rPr>
            </w:pPr>
            <w:r>
              <w:rPr>
                <w:sz w:val="24"/>
                <w:szCs w:val="24"/>
              </w:rPr>
              <w:t>63,351</w:t>
            </w:r>
          </w:p>
        </w:tc>
        <w:tc>
          <w:tcPr>
            <w:tcW w:w="2204" w:type="dxa"/>
            <w:shd w:val="clear" w:color="auto" w:fill="FFFFFF"/>
          </w:tcPr>
          <w:p w14:paraId="4AE74B6B" w14:textId="77777777" w:rsidR="00632A6A" w:rsidRDefault="004553F6">
            <w:pPr>
              <w:spacing w:line="276" w:lineRule="auto"/>
              <w:jc w:val="center"/>
              <w:rPr>
                <w:sz w:val="22"/>
                <w:szCs w:val="22"/>
              </w:rPr>
            </w:pPr>
            <w:r>
              <w:rPr>
                <w:sz w:val="22"/>
                <w:szCs w:val="22"/>
              </w:rPr>
              <w:t>87025</w:t>
            </w:r>
          </w:p>
        </w:tc>
        <w:tc>
          <w:tcPr>
            <w:tcW w:w="2126" w:type="dxa"/>
            <w:shd w:val="clear" w:color="auto" w:fill="FFFFFF"/>
            <w:vAlign w:val="bottom"/>
          </w:tcPr>
          <w:p w14:paraId="2645168C" w14:textId="77777777" w:rsidR="00632A6A" w:rsidRDefault="004553F6">
            <w:pPr>
              <w:spacing w:line="276" w:lineRule="auto"/>
              <w:jc w:val="center"/>
              <w:rPr>
                <w:sz w:val="24"/>
                <w:szCs w:val="24"/>
              </w:rPr>
            </w:pPr>
            <w:r>
              <w:rPr>
                <w:sz w:val="24"/>
                <w:szCs w:val="24"/>
              </w:rPr>
              <w:t>20131</w:t>
            </w:r>
          </w:p>
        </w:tc>
        <w:tc>
          <w:tcPr>
            <w:tcW w:w="1847" w:type="dxa"/>
            <w:vAlign w:val="bottom"/>
          </w:tcPr>
          <w:p w14:paraId="437EC80F" w14:textId="77777777" w:rsidR="00632A6A" w:rsidRDefault="004553F6">
            <w:pPr>
              <w:spacing w:line="276" w:lineRule="auto"/>
              <w:jc w:val="center"/>
              <w:rPr>
                <w:sz w:val="24"/>
                <w:szCs w:val="24"/>
              </w:rPr>
            </w:pPr>
            <w:r>
              <w:rPr>
                <w:sz w:val="24"/>
                <w:szCs w:val="24"/>
              </w:rPr>
              <w:t>61807</w:t>
            </w:r>
          </w:p>
        </w:tc>
      </w:tr>
      <w:tr w:rsidR="00632A6A" w14:paraId="605E5978" w14:textId="77777777">
        <w:trPr>
          <w:trHeight w:val="106"/>
        </w:trPr>
        <w:tc>
          <w:tcPr>
            <w:tcW w:w="773" w:type="dxa"/>
            <w:shd w:val="clear" w:color="auto" w:fill="FFFFFF"/>
            <w:vAlign w:val="bottom"/>
          </w:tcPr>
          <w:p w14:paraId="7D7465F0" w14:textId="77777777" w:rsidR="00632A6A" w:rsidRDefault="004553F6">
            <w:pPr>
              <w:spacing w:line="276" w:lineRule="auto"/>
              <w:jc w:val="center"/>
              <w:rPr>
                <w:sz w:val="24"/>
                <w:szCs w:val="24"/>
              </w:rPr>
            </w:pPr>
            <w:r>
              <w:rPr>
                <w:sz w:val="24"/>
                <w:szCs w:val="24"/>
              </w:rPr>
              <w:t>2016</w:t>
            </w:r>
          </w:p>
        </w:tc>
        <w:tc>
          <w:tcPr>
            <w:tcW w:w="2204" w:type="dxa"/>
            <w:shd w:val="clear" w:color="auto" w:fill="FFFFFF"/>
            <w:vAlign w:val="bottom"/>
          </w:tcPr>
          <w:p w14:paraId="7577B460" w14:textId="77777777" w:rsidR="00632A6A" w:rsidRDefault="004553F6">
            <w:pPr>
              <w:spacing w:line="276" w:lineRule="auto"/>
              <w:jc w:val="center"/>
              <w:rPr>
                <w:sz w:val="24"/>
                <w:szCs w:val="24"/>
              </w:rPr>
            </w:pPr>
            <w:r>
              <w:rPr>
                <w:sz w:val="24"/>
                <w:szCs w:val="24"/>
              </w:rPr>
              <w:t>66,385</w:t>
            </w:r>
          </w:p>
        </w:tc>
        <w:tc>
          <w:tcPr>
            <w:tcW w:w="2204" w:type="dxa"/>
            <w:shd w:val="clear" w:color="auto" w:fill="FFFFFF"/>
          </w:tcPr>
          <w:p w14:paraId="0C4FC163" w14:textId="77777777" w:rsidR="00632A6A" w:rsidRDefault="004553F6">
            <w:pPr>
              <w:spacing w:line="276" w:lineRule="auto"/>
              <w:jc w:val="center"/>
              <w:rPr>
                <w:sz w:val="22"/>
                <w:szCs w:val="22"/>
              </w:rPr>
            </w:pPr>
            <w:r>
              <w:rPr>
                <w:sz w:val="22"/>
                <w:szCs w:val="22"/>
              </w:rPr>
              <w:t>91533</w:t>
            </w:r>
          </w:p>
        </w:tc>
        <w:tc>
          <w:tcPr>
            <w:tcW w:w="2126" w:type="dxa"/>
            <w:shd w:val="clear" w:color="auto" w:fill="FFFFFF"/>
            <w:vAlign w:val="bottom"/>
          </w:tcPr>
          <w:p w14:paraId="6ABAA5D7" w14:textId="77777777" w:rsidR="00632A6A" w:rsidRDefault="004553F6">
            <w:pPr>
              <w:spacing w:line="276" w:lineRule="auto"/>
              <w:jc w:val="center"/>
              <w:rPr>
                <w:sz w:val="24"/>
                <w:szCs w:val="24"/>
              </w:rPr>
            </w:pPr>
            <w:r>
              <w:rPr>
                <w:sz w:val="24"/>
                <w:szCs w:val="24"/>
              </w:rPr>
              <w:t>22757</w:t>
            </w:r>
          </w:p>
        </w:tc>
        <w:tc>
          <w:tcPr>
            <w:tcW w:w="1847" w:type="dxa"/>
            <w:vAlign w:val="bottom"/>
          </w:tcPr>
          <w:p w14:paraId="15790FC3" w14:textId="77777777" w:rsidR="00632A6A" w:rsidRDefault="004553F6">
            <w:pPr>
              <w:spacing w:line="276" w:lineRule="auto"/>
              <w:jc w:val="center"/>
              <w:rPr>
                <w:sz w:val="24"/>
                <w:szCs w:val="24"/>
              </w:rPr>
            </w:pPr>
            <w:r>
              <w:rPr>
                <w:sz w:val="24"/>
                <w:szCs w:val="24"/>
              </w:rPr>
              <w:t>55258</w:t>
            </w:r>
          </w:p>
        </w:tc>
      </w:tr>
      <w:tr w:rsidR="00632A6A" w14:paraId="533E9B1B" w14:textId="77777777">
        <w:trPr>
          <w:trHeight w:val="325"/>
        </w:trPr>
        <w:tc>
          <w:tcPr>
            <w:tcW w:w="773" w:type="dxa"/>
            <w:shd w:val="clear" w:color="auto" w:fill="FFFFFF"/>
            <w:vAlign w:val="bottom"/>
          </w:tcPr>
          <w:p w14:paraId="1E9B4230" w14:textId="77777777" w:rsidR="00632A6A" w:rsidRDefault="004553F6">
            <w:pPr>
              <w:spacing w:line="276" w:lineRule="auto"/>
              <w:jc w:val="center"/>
              <w:rPr>
                <w:sz w:val="24"/>
                <w:szCs w:val="24"/>
              </w:rPr>
            </w:pPr>
            <w:r>
              <w:rPr>
                <w:sz w:val="24"/>
                <w:szCs w:val="24"/>
              </w:rPr>
              <w:t>2017</w:t>
            </w:r>
          </w:p>
        </w:tc>
        <w:tc>
          <w:tcPr>
            <w:tcW w:w="2204" w:type="dxa"/>
            <w:shd w:val="clear" w:color="auto" w:fill="FFFFFF"/>
            <w:vAlign w:val="bottom"/>
          </w:tcPr>
          <w:p w14:paraId="4546ED00" w14:textId="77777777" w:rsidR="00632A6A" w:rsidRDefault="004553F6">
            <w:pPr>
              <w:spacing w:line="276" w:lineRule="auto"/>
              <w:jc w:val="center"/>
              <w:rPr>
                <w:sz w:val="24"/>
                <w:szCs w:val="24"/>
              </w:rPr>
            </w:pPr>
            <w:r>
              <w:rPr>
                <w:sz w:val="24"/>
                <w:szCs w:val="24"/>
              </w:rPr>
              <w:t>66,757</w:t>
            </w:r>
          </w:p>
        </w:tc>
        <w:tc>
          <w:tcPr>
            <w:tcW w:w="2204" w:type="dxa"/>
            <w:shd w:val="clear" w:color="auto" w:fill="FFFFFF"/>
          </w:tcPr>
          <w:p w14:paraId="4CFEF05E" w14:textId="77777777" w:rsidR="00632A6A" w:rsidRDefault="004553F6">
            <w:pPr>
              <w:spacing w:line="276" w:lineRule="auto"/>
              <w:jc w:val="center"/>
              <w:rPr>
                <w:sz w:val="22"/>
                <w:szCs w:val="22"/>
              </w:rPr>
            </w:pPr>
            <w:r>
              <w:rPr>
                <w:sz w:val="22"/>
                <w:szCs w:val="22"/>
              </w:rPr>
              <w:t>93839</w:t>
            </w:r>
          </w:p>
        </w:tc>
        <w:tc>
          <w:tcPr>
            <w:tcW w:w="2126" w:type="dxa"/>
            <w:shd w:val="clear" w:color="auto" w:fill="FFFFFF"/>
            <w:vAlign w:val="bottom"/>
          </w:tcPr>
          <w:p w14:paraId="6B58180B" w14:textId="77777777" w:rsidR="00632A6A" w:rsidRDefault="004553F6">
            <w:pPr>
              <w:spacing w:line="276" w:lineRule="auto"/>
              <w:jc w:val="center"/>
              <w:rPr>
                <w:sz w:val="24"/>
                <w:szCs w:val="24"/>
              </w:rPr>
            </w:pPr>
            <w:r>
              <w:rPr>
                <w:sz w:val="24"/>
                <w:szCs w:val="24"/>
              </w:rPr>
              <w:t>25065</w:t>
            </w:r>
          </w:p>
        </w:tc>
        <w:tc>
          <w:tcPr>
            <w:tcW w:w="1847" w:type="dxa"/>
            <w:vAlign w:val="bottom"/>
          </w:tcPr>
          <w:p w14:paraId="2D9F4C4B" w14:textId="77777777" w:rsidR="00632A6A" w:rsidRDefault="004553F6">
            <w:pPr>
              <w:spacing w:line="276" w:lineRule="auto"/>
              <w:jc w:val="center"/>
              <w:rPr>
                <w:sz w:val="24"/>
                <w:szCs w:val="24"/>
              </w:rPr>
            </w:pPr>
            <w:r>
              <w:rPr>
                <w:sz w:val="24"/>
                <w:szCs w:val="24"/>
              </w:rPr>
              <w:t>52462</w:t>
            </w:r>
          </w:p>
        </w:tc>
      </w:tr>
      <w:tr w:rsidR="00632A6A" w14:paraId="76F513D6" w14:textId="77777777">
        <w:trPr>
          <w:trHeight w:val="281"/>
        </w:trPr>
        <w:tc>
          <w:tcPr>
            <w:tcW w:w="773" w:type="dxa"/>
            <w:shd w:val="clear" w:color="auto" w:fill="FFFFFF"/>
            <w:vAlign w:val="bottom"/>
          </w:tcPr>
          <w:p w14:paraId="23D14E0D" w14:textId="77777777" w:rsidR="00632A6A" w:rsidRDefault="004553F6">
            <w:pPr>
              <w:spacing w:line="276" w:lineRule="auto"/>
              <w:jc w:val="center"/>
              <w:rPr>
                <w:sz w:val="24"/>
                <w:szCs w:val="24"/>
              </w:rPr>
            </w:pPr>
            <w:r>
              <w:rPr>
                <w:sz w:val="24"/>
                <w:szCs w:val="24"/>
              </w:rPr>
              <w:t>2018</w:t>
            </w:r>
          </w:p>
        </w:tc>
        <w:tc>
          <w:tcPr>
            <w:tcW w:w="2204" w:type="dxa"/>
            <w:shd w:val="clear" w:color="auto" w:fill="FFFFFF"/>
            <w:vAlign w:val="bottom"/>
          </w:tcPr>
          <w:p w14:paraId="2FAC0A23" w14:textId="77777777" w:rsidR="00632A6A" w:rsidRDefault="004553F6">
            <w:pPr>
              <w:spacing w:line="276" w:lineRule="auto"/>
              <w:jc w:val="center"/>
              <w:rPr>
                <w:sz w:val="24"/>
                <w:szCs w:val="24"/>
              </w:rPr>
            </w:pPr>
            <w:r>
              <w:rPr>
                <w:sz w:val="24"/>
                <w:szCs w:val="24"/>
              </w:rPr>
              <w:t>74,986</w:t>
            </w:r>
          </w:p>
        </w:tc>
        <w:tc>
          <w:tcPr>
            <w:tcW w:w="2204" w:type="dxa"/>
            <w:shd w:val="clear" w:color="auto" w:fill="FFFFFF"/>
          </w:tcPr>
          <w:p w14:paraId="760DAA24" w14:textId="77777777" w:rsidR="00632A6A" w:rsidRDefault="004553F6">
            <w:pPr>
              <w:spacing w:line="276" w:lineRule="auto"/>
              <w:jc w:val="center"/>
              <w:rPr>
                <w:sz w:val="22"/>
                <w:szCs w:val="22"/>
              </w:rPr>
            </w:pPr>
            <w:r>
              <w:rPr>
                <w:sz w:val="22"/>
                <w:szCs w:val="22"/>
              </w:rPr>
              <w:t>104194</w:t>
            </w:r>
          </w:p>
        </w:tc>
        <w:tc>
          <w:tcPr>
            <w:tcW w:w="2126" w:type="dxa"/>
            <w:shd w:val="clear" w:color="auto" w:fill="FFFFFF"/>
            <w:vAlign w:val="bottom"/>
          </w:tcPr>
          <w:p w14:paraId="05452796" w14:textId="77777777" w:rsidR="00632A6A" w:rsidRDefault="004553F6">
            <w:pPr>
              <w:spacing w:line="276" w:lineRule="auto"/>
              <w:jc w:val="center"/>
              <w:rPr>
                <w:sz w:val="24"/>
                <w:szCs w:val="24"/>
              </w:rPr>
            </w:pPr>
            <w:r>
              <w:rPr>
                <w:sz w:val="24"/>
                <w:szCs w:val="24"/>
              </w:rPr>
              <w:t>1541</w:t>
            </w:r>
          </w:p>
        </w:tc>
        <w:tc>
          <w:tcPr>
            <w:tcW w:w="1847" w:type="dxa"/>
            <w:vAlign w:val="bottom"/>
          </w:tcPr>
          <w:p w14:paraId="490C4663" w14:textId="77777777" w:rsidR="00632A6A" w:rsidRDefault="004553F6">
            <w:pPr>
              <w:spacing w:line="276" w:lineRule="auto"/>
              <w:jc w:val="center"/>
              <w:rPr>
                <w:sz w:val="24"/>
                <w:szCs w:val="24"/>
              </w:rPr>
            </w:pPr>
            <w:r>
              <w:rPr>
                <w:sz w:val="24"/>
                <w:szCs w:val="24"/>
              </w:rPr>
              <w:t>60317</w:t>
            </w:r>
          </w:p>
        </w:tc>
      </w:tr>
      <w:tr w:rsidR="00632A6A" w14:paraId="2AD95431" w14:textId="77777777">
        <w:trPr>
          <w:trHeight w:val="285"/>
        </w:trPr>
        <w:tc>
          <w:tcPr>
            <w:tcW w:w="773" w:type="dxa"/>
            <w:tcBorders>
              <w:bottom w:val="single" w:sz="4" w:space="0" w:color="000000"/>
            </w:tcBorders>
            <w:shd w:val="clear" w:color="auto" w:fill="FFFFFF"/>
            <w:vAlign w:val="bottom"/>
          </w:tcPr>
          <w:p w14:paraId="3306EAB6" w14:textId="77777777" w:rsidR="00632A6A" w:rsidRDefault="004553F6">
            <w:pPr>
              <w:spacing w:line="276" w:lineRule="auto"/>
              <w:jc w:val="center"/>
              <w:rPr>
                <w:sz w:val="24"/>
                <w:szCs w:val="24"/>
              </w:rPr>
            </w:pPr>
            <w:r>
              <w:rPr>
                <w:sz w:val="24"/>
                <w:szCs w:val="24"/>
              </w:rPr>
              <w:t>2019</w:t>
            </w:r>
          </w:p>
        </w:tc>
        <w:tc>
          <w:tcPr>
            <w:tcW w:w="2204" w:type="dxa"/>
            <w:tcBorders>
              <w:bottom w:val="single" w:sz="4" w:space="0" w:color="000000"/>
            </w:tcBorders>
            <w:shd w:val="clear" w:color="auto" w:fill="FFFFFF"/>
            <w:vAlign w:val="bottom"/>
          </w:tcPr>
          <w:p w14:paraId="2B67063C" w14:textId="77777777" w:rsidR="00632A6A" w:rsidRDefault="004553F6">
            <w:pPr>
              <w:spacing w:line="276" w:lineRule="auto"/>
              <w:jc w:val="center"/>
              <w:rPr>
                <w:sz w:val="24"/>
                <w:szCs w:val="24"/>
              </w:rPr>
            </w:pPr>
            <w:r>
              <w:rPr>
                <w:sz w:val="24"/>
                <w:szCs w:val="24"/>
              </w:rPr>
              <w:t>81,456</w:t>
            </w:r>
          </w:p>
        </w:tc>
        <w:tc>
          <w:tcPr>
            <w:tcW w:w="2204" w:type="dxa"/>
            <w:tcBorders>
              <w:bottom w:val="single" w:sz="4" w:space="0" w:color="000000"/>
            </w:tcBorders>
            <w:shd w:val="clear" w:color="auto" w:fill="FFFFFF"/>
          </w:tcPr>
          <w:p w14:paraId="2A66F587" w14:textId="77777777" w:rsidR="00632A6A" w:rsidRDefault="004553F6">
            <w:pPr>
              <w:spacing w:line="276" w:lineRule="auto"/>
              <w:jc w:val="center"/>
              <w:rPr>
                <w:sz w:val="22"/>
                <w:szCs w:val="22"/>
              </w:rPr>
            </w:pPr>
            <w:r>
              <w:rPr>
                <w:sz w:val="22"/>
                <w:szCs w:val="22"/>
              </w:rPr>
              <w:t>78373</w:t>
            </w:r>
          </w:p>
        </w:tc>
        <w:tc>
          <w:tcPr>
            <w:tcW w:w="2126" w:type="dxa"/>
            <w:tcBorders>
              <w:bottom w:val="single" w:sz="4" w:space="0" w:color="000000"/>
            </w:tcBorders>
            <w:shd w:val="clear" w:color="auto" w:fill="FFFFFF"/>
            <w:vAlign w:val="bottom"/>
          </w:tcPr>
          <w:p w14:paraId="4AE60BB1" w14:textId="77777777" w:rsidR="00632A6A" w:rsidRDefault="004553F6">
            <w:pPr>
              <w:spacing w:line="276" w:lineRule="auto"/>
              <w:jc w:val="center"/>
              <w:rPr>
                <w:sz w:val="24"/>
                <w:szCs w:val="24"/>
              </w:rPr>
            </w:pPr>
            <w:r>
              <w:rPr>
                <w:sz w:val="24"/>
                <w:szCs w:val="24"/>
              </w:rPr>
              <w:t>12523</w:t>
            </w:r>
          </w:p>
        </w:tc>
        <w:tc>
          <w:tcPr>
            <w:tcW w:w="1847" w:type="dxa"/>
            <w:tcBorders>
              <w:bottom w:val="single" w:sz="4" w:space="0" w:color="000000"/>
            </w:tcBorders>
            <w:vAlign w:val="bottom"/>
          </w:tcPr>
          <w:p w14:paraId="765B625C" w14:textId="77777777" w:rsidR="00632A6A" w:rsidRDefault="004553F6">
            <w:pPr>
              <w:spacing w:line="276" w:lineRule="auto"/>
              <w:jc w:val="center"/>
              <w:rPr>
                <w:sz w:val="24"/>
                <w:szCs w:val="24"/>
              </w:rPr>
            </w:pPr>
            <w:r>
              <w:rPr>
                <w:sz w:val="24"/>
                <w:szCs w:val="24"/>
              </w:rPr>
              <w:t>60515</w:t>
            </w:r>
          </w:p>
        </w:tc>
      </w:tr>
    </w:tbl>
    <w:p w14:paraId="6E7F9D83" w14:textId="77777777" w:rsidR="00632A6A" w:rsidRDefault="004553F6">
      <w:pPr>
        <w:spacing w:line="360" w:lineRule="auto"/>
        <w:jc w:val="both"/>
        <w:rPr>
          <w:color w:val="000000"/>
        </w:rPr>
      </w:pPr>
      <w:r>
        <w:rPr>
          <w:color w:val="000000"/>
        </w:rPr>
        <w:t xml:space="preserve">Fuente: Adaptado de SUNAT (2019), cuadro A.1, ingresos del Gobierno Central consolidado 2005-2019. Ministerio de la Producción (2019) - MiPymes en cifras: 2012-2019, SUNAT - Registro Único de Contribuyentes 2012-2019. </w:t>
      </w:r>
    </w:p>
    <w:p w14:paraId="30CA8FE5"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65FF0DD8" w14:textId="77777777" w:rsidR="00632A6A" w:rsidRDefault="00632A6A">
      <w:pPr>
        <w:pBdr>
          <w:top w:val="nil"/>
          <w:left w:val="nil"/>
          <w:bottom w:val="nil"/>
          <w:right w:val="nil"/>
          <w:between w:val="nil"/>
        </w:pBdr>
        <w:spacing w:line="360" w:lineRule="auto"/>
        <w:ind w:firstLine="357"/>
        <w:jc w:val="both"/>
        <w:rPr>
          <w:b/>
          <w:color w:val="000000"/>
          <w:sz w:val="24"/>
          <w:szCs w:val="24"/>
        </w:rPr>
      </w:pPr>
    </w:p>
    <w:p w14:paraId="04C30684" w14:textId="77777777" w:rsidR="00632A6A" w:rsidRDefault="004553F6">
      <w:pPr>
        <w:pBdr>
          <w:top w:val="nil"/>
          <w:left w:val="nil"/>
          <w:bottom w:val="nil"/>
          <w:right w:val="nil"/>
          <w:between w:val="nil"/>
        </w:pBdr>
        <w:spacing w:line="360" w:lineRule="auto"/>
        <w:ind w:firstLine="357"/>
        <w:jc w:val="both"/>
        <w:rPr>
          <w:b/>
          <w:color w:val="000000"/>
          <w:sz w:val="24"/>
          <w:szCs w:val="24"/>
        </w:rPr>
      </w:pPr>
      <w:r>
        <w:rPr>
          <w:b/>
          <w:color w:val="000000"/>
          <w:sz w:val="24"/>
          <w:szCs w:val="24"/>
        </w:rPr>
        <w:t xml:space="preserve">4.1 Prueba de la significancia de la hipótesis general de la investigación </w:t>
      </w:r>
    </w:p>
    <w:p w14:paraId="48DDB0C6" w14:textId="77777777" w:rsidR="00632A6A" w:rsidRDefault="00632A6A">
      <w:pPr>
        <w:pBdr>
          <w:top w:val="nil"/>
          <w:left w:val="nil"/>
          <w:bottom w:val="nil"/>
          <w:right w:val="nil"/>
          <w:between w:val="nil"/>
        </w:pBdr>
        <w:spacing w:line="360" w:lineRule="auto"/>
        <w:rPr>
          <w:color w:val="000000"/>
          <w:sz w:val="24"/>
          <w:szCs w:val="24"/>
        </w:rPr>
      </w:pPr>
    </w:p>
    <w:p w14:paraId="7BD365F5" w14:textId="4F467D7E"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Se ha verificado si existe correlación entre la recaudación de tributos y el crecimiento de las MYPES (formales e informales). A través de la prueba de Shapiro-Wilks</w:t>
      </w:r>
      <w:r w:rsidR="00042E5E">
        <w:rPr>
          <w:color w:val="000000"/>
          <w:sz w:val="24"/>
          <w:szCs w:val="24"/>
        </w:rPr>
        <w:t xml:space="preserve"> indicada en la Tabla 7</w:t>
      </w:r>
      <w:r>
        <w:rPr>
          <w:color w:val="000000"/>
          <w:sz w:val="24"/>
          <w:szCs w:val="24"/>
        </w:rPr>
        <w:t>, se determinó que ambas variables tienen una distribución normal</w:t>
      </w:r>
      <w:r w:rsidR="00042E5E">
        <w:rPr>
          <w:color w:val="000000"/>
          <w:sz w:val="24"/>
          <w:szCs w:val="24"/>
        </w:rPr>
        <w:t xml:space="preserve">, </w:t>
      </w:r>
      <w:r>
        <w:rPr>
          <w:color w:val="000000"/>
          <w:sz w:val="24"/>
          <w:szCs w:val="24"/>
        </w:rPr>
        <w:t>y a través de la prueba de correlación de Pearson</w:t>
      </w:r>
      <w:r w:rsidR="00042E5E">
        <w:rPr>
          <w:color w:val="000000"/>
          <w:sz w:val="24"/>
          <w:szCs w:val="24"/>
        </w:rPr>
        <w:t xml:space="preserve"> indicada en la Tabla 8, </w:t>
      </w:r>
      <w:r>
        <w:rPr>
          <w:color w:val="000000"/>
          <w:sz w:val="24"/>
          <w:szCs w:val="24"/>
        </w:rPr>
        <w:t>se determinó que la correlación es positiva con un r = 0.93</w:t>
      </w:r>
      <w:r w:rsidR="00042E5E">
        <w:rPr>
          <w:color w:val="000000"/>
          <w:sz w:val="24"/>
          <w:szCs w:val="24"/>
        </w:rPr>
        <w:t xml:space="preserve">. </w:t>
      </w:r>
      <w:r>
        <w:rPr>
          <w:color w:val="000000"/>
          <w:sz w:val="24"/>
          <w:szCs w:val="24"/>
        </w:rPr>
        <w:t xml:space="preserve">Las dos variables tienden a desplazarse en las mismas direcciones. Entonces, si “X (cantidad de MYPES)” aumenta, “Y (recaudación tributaria)” también tiende a aumentar. </w:t>
      </w:r>
      <w:r w:rsidR="00671A27">
        <w:rPr>
          <w:color w:val="000000"/>
          <w:sz w:val="24"/>
          <w:szCs w:val="24"/>
        </w:rPr>
        <w:t>Así mismo, la ecuación obtenida que relaciona ambas variables es de Y = 0.7689X + 505.51.</w:t>
      </w:r>
    </w:p>
    <w:p w14:paraId="77FB5386" w14:textId="77777777" w:rsidR="00632A6A" w:rsidRDefault="00632A6A">
      <w:pPr>
        <w:pBdr>
          <w:top w:val="nil"/>
          <w:left w:val="nil"/>
          <w:bottom w:val="nil"/>
          <w:right w:val="nil"/>
          <w:between w:val="nil"/>
        </w:pBdr>
        <w:spacing w:line="360" w:lineRule="auto"/>
        <w:jc w:val="both"/>
        <w:rPr>
          <w:color w:val="000000"/>
          <w:sz w:val="24"/>
          <w:szCs w:val="24"/>
        </w:rPr>
      </w:pPr>
    </w:p>
    <w:p w14:paraId="7FC02EB1" w14:textId="77777777" w:rsidR="00632A6A" w:rsidRDefault="004553F6">
      <w:pPr>
        <w:pBdr>
          <w:top w:val="nil"/>
          <w:left w:val="nil"/>
          <w:bottom w:val="nil"/>
          <w:right w:val="nil"/>
          <w:between w:val="nil"/>
        </w:pBdr>
        <w:spacing w:line="360" w:lineRule="auto"/>
        <w:jc w:val="both"/>
        <w:rPr>
          <w:color w:val="000000"/>
          <w:sz w:val="24"/>
          <w:szCs w:val="24"/>
        </w:rPr>
      </w:pPr>
      <w:r>
        <w:rPr>
          <w:color w:val="000000"/>
          <w:sz w:val="24"/>
          <w:szCs w:val="24"/>
        </w:rPr>
        <w:t>Tabla 7</w:t>
      </w:r>
    </w:p>
    <w:p w14:paraId="0ACC359D" w14:textId="77777777" w:rsidR="00632A6A" w:rsidRDefault="004553F6">
      <w:pPr>
        <w:pBdr>
          <w:top w:val="nil"/>
          <w:left w:val="nil"/>
          <w:bottom w:val="nil"/>
          <w:right w:val="nil"/>
          <w:between w:val="nil"/>
        </w:pBdr>
        <w:spacing w:line="360" w:lineRule="auto"/>
        <w:jc w:val="both"/>
        <w:rPr>
          <w:i/>
          <w:color w:val="000000"/>
          <w:sz w:val="24"/>
          <w:szCs w:val="24"/>
        </w:rPr>
      </w:pPr>
      <w:r>
        <w:rPr>
          <w:i/>
          <w:color w:val="000000"/>
          <w:sz w:val="24"/>
          <w:szCs w:val="24"/>
        </w:rPr>
        <w:t>Prueba de Shapiro-Wilk para las variables cantidad de MYPES y recaudación tributaria</w:t>
      </w:r>
    </w:p>
    <w:tbl>
      <w:tblPr>
        <w:tblStyle w:val="a5"/>
        <w:tblW w:w="9356" w:type="dxa"/>
        <w:tblInd w:w="0" w:type="dxa"/>
        <w:tblLayout w:type="fixed"/>
        <w:tblLook w:val="0400" w:firstRow="0" w:lastRow="0" w:firstColumn="0" w:lastColumn="0" w:noHBand="0" w:noVBand="1"/>
      </w:tblPr>
      <w:tblGrid>
        <w:gridCol w:w="3402"/>
        <w:gridCol w:w="2127"/>
        <w:gridCol w:w="3827"/>
      </w:tblGrid>
      <w:tr w:rsidR="00632A6A" w14:paraId="27888545" w14:textId="77777777">
        <w:trPr>
          <w:trHeight w:val="461"/>
        </w:trPr>
        <w:tc>
          <w:tcPr>
            <w:tcW w:w="3402" w:type="dxa"/>
            <w:tcBorders>
              <w:top w:val="single" w:sz="4" w:space="0" w:color="000000"/>
              <w:bottom w:val="single" w:sz="4" w:space="0" w:color="000000"/>
            </w:tcBorders>
            <w:shd w:val="clear" w:color="auto" w:fill="FFFFFF"/>
            <w:vAlign w:val="center"/>
          </w:tcPr>
          <w:p w14:paraId="57317E82" w14:textId="77777777" w:rsidR="00632A6A" w:rsidRDefault="004553F6">
            <w:pPr>
              <w:spacing w:line="276" w:lineRule="auto"/>
              <w:jc w:val="center"/>
              <w:rPr>
                <w:sz w:val="24"/>
                <w:szCs w:val="24"/>
              </w:rPr>
            </w:pPr>
            <w:r>
              <w:rPr>
                <w:sz w:val="24"/>
                <w:szCs w:val="24"/>
              </w:rPr>
              <w:t>Variable</w:t>
            </w:r>
          </w:p>
        </w:tc>
        <w:tc>
          <w:tcPr>
            <w:tcW w:w="2127" w:type="dxa"/>
            <w:tcBorders>
              <w:top w:val="single" w:sz="4" w:space="0" w:color="000000"/>
              <w:bottom w:val="single" w:sz="4" w:space="0" w:color="000000"/>
            </w:tcBorders>
            <w:shd w:val="clear" w:color="auto" w:fill="FFFFFF"/>
            <w:vAlign w:val="center"/>
          </w:tcPr>
          <w:p w14:paraId="20CF1D17" w14:textId="77777777" w:rsidR="00632A6A" w:rsidRDefault="004553F6">
            <w:pPr>
              <w:spacing w:line="276" w:lineRule="auto"/>
              <w:jc w:val="center"/>
              <w:rPr>
                <w:sz w:val="24"/>
                <w:szCs w:val="24"/>
              </w:rPr>
            </w:pPr>
            <w:r>
              <w:rPr>
                <w:sz w:val="24"/>
                <w:szCs w:val="24"/>
              </w:rPr>
              <w:t>P-valor</w:t>
            </w:r>
          </w:p>
        </w:tc>
        <w:tc>
          <w:tcPr>
            <w:tcW w:w="3827" w:type="dxa"/>
            <w:tcBorders>
              <w:top w:val="single" w:sz="4" w:space="0" w:color="000000"/>
              <w:bottom w:val="single" w:sz="4" w:space="0" w:color="000000"/>
            </w:tcBorders>
            <w:shd w:val="clear" w:color="auto" w:fill="auto"/>
            <w:vAlign w:val="center"/>
          </w:tcPr>
          <w:p w14:paraId="449BC95B" w14:textId="77777777" w:rsidR="00632A6A" w:rsidRDefault="004553F6">
            <w:pPr>
              <w:spacing w:line="276" w:lineRule="auto"/>
              <w:jc w:val="center"/>
              <w:rPr>
                <w:sz w:val="24"/>
                <w:szCs w:val="24"/>
              </w:rPr>
            </w:pPr>
            <w:r>
              <w:rPr>
                <w:sz w:val="24"/>
                <w:szCs w:val="24"/>
              </w:rPr>
              <w:t>Distribución normal</w:t>
            </w:r>
          </w:p>
        </w:tc>
      </w:tr>
      <w:tr w:rsidR="00632A6A" w14:paraId="3D0FC127" w14:textId="77777777">
        <w:trPr>
          <w:trHeight w:val="106"/>
        </w:trPr>
        <w:tc>
          <w:tcPr>
            <w:tcW w:w="3402" w:type="dxa"/>
            <w:tcBorders>
              <w:top w:val="single" w:sz="4" w:space="0" w:color="000000"/>
            </w:tcBorders>
            <w:shd w:val="clear" w:color="auto" w:fill="FFFFFF"/>
            <w:vAlign w:val="bottom"/>
          </w:tcPr>
          <w:p w14:paraId="3B6D8068" w14:textId="77777777" w:rsidR="00632A6A" w:rsidRDefault="004553F6">
            <w:pPr>
              <w:spacing w:line="276" w:lineRule="auto"/>
              <w:jc w:val="center"/>
              <w:rPr>
                <w:sz w:val="24"/>
                <w:szCs w:val="24"/>
              </w:rPr>
            </w:pPr>
            <w:r>
              <w:rPr>
                <w:sz w:val="24"/>
                <w:szCs w:val="24"/>
              </w:rPr>
              <w:t>Cantidad de MYPES</w:t>
            </w:r>
          </w:p>
        </w:tc>
        <w:tc>
          <w:tcPr>
            <w:tcW w:w="2127" w:type="dxa"/>
            <w:tcBorders>
              <w:top w:val="single" w:sz="4" w:space="0" w:color="000000"/>
            </w:tcBorders>
            <w:shd w:val="clear" w:color="auto" w:fill="FFFFFF"/>
            <w:vAlign w:val="bottom"/>
          </w:tcPr>
          <w:p w14:paraId="72E3F589" w14:textId="77777777" w:rsidR="00632A6A" w:rsidRDefault="004553F6">
            <w:pPr>
              <w:spacing w:line="276" w:lineRule="auto"/>
              <w:jc w:val="center"/>
              <w:rPr>
                <w:sz w:val="24"/>
                <w:szCs w:val="24"/>
              </w:rPr>
            </w:pPr>
            <w:r>
              <w:rPr>
                <w:sz w:val="24"/>
                <w:szCs w:val="24"/>
              </w:rPr>
              <w:t>0.4861</w:t>
            </w:r>
          </w:p>
        </w:tc>
        <w:tc>
          <w:tcPr>
            <w:tcW w:w="3827" w:type="dxa"/>
            <w:tcBorders>
              <w:top w:val="single" w:sz="4" w:space="0" w:color="000000"/>
            </w:tcBorders>
            <w:shd w:val="clear" w:color="auto" w:fill="auto"/>
            <w:vAlign w:val="bottom"/>
          </w:tcPr>
          <w:p w14:paraId="2E4F8E38" w14:textId="77777777" w:rsidR="00632A6A" w:rsidRDefault="004553F6">
            <w:pPr>
              <w:spacing w:line="276" w:lineRule="auto"/>
              <w:jc w:val="center"/>
              <w:rPr>
                <w:sz w:val="24"/>
                <w:szCs w:val="24"/>
              </w:rPr>
            </w:pPr>
            <w:r>
              <w:rPr>
                <w:sz w:val="24"/>
                <w:szCs w:val="24"/>
              </w:rPr>
              <w:t>Si</w:t>
            </w:r>
          </w:p>
        </w:tc>
      </w:tr>
      <w:tr w:rsidR="00632A6A" w14:paraId="4A69C258" w14:textId="77777777">
        <w:trPr>
          <w:trHeight w:val="285"/>
        </w:trPr>
        <w:tc>
          <w:tcPr>
            <w:tcW w:w="3402" w:type="dxa"/>
            <w:tcBorders>
              <w:bottom w:val="single" w:sz="4" w:space="0" w:color="000000"/>
            </w:tcBorders>
            <w:shd w:val="clear" w:color="auto" w:fill="FFFFFF"/>
            <w:vAlign w:val="bottom"/>
          </w:tcPr>
          <w:p w14:paraId="2071C199" w14:textId="77777777" w:rsidR="00632A6A" w:rsidRDefault="004553F6">
            <w:pPr>
              <w:spacing w:line="276" w:lineRule="auto"/>
              <w:jc w:val="center"/>
              <w:rPr>
                <w:sz w:val="24"/>
                <w:szCs w:val="24"/>
              </w:rPr>
            </w:pPr>
            <w:r>
              <w:rPr>
                <w:sz w:val="24"/>
                <w:szCs w:val="24"/>
              </w:rPr>
              <w:t>Recaudación tributaria</w:t>
            </w:r>
          </w:p>
        </w:tc>
        <w:tc>
          <w:tcPr>
            <w:tcW w:w="2127" w:type="dxa"/>
            <w:tcBorders>
              <w:bottom w:val="single" w:sz="4" w:space="0" w:color="000000"/>
            </w:tcBorders>
            <w:shd w:val="clear" w:color="auto" w:fill="FFFFFF"/>
            <w:vAlign w:val="bottom"/>
          </w:tcPr>
          <w:p w14:paraId="471CC88C" w14:textId="77777777" w:rsidR="00632A6A" w:rsidRDefault="004553F6">
            <w:pPr>
              <w:spacing w:line="276" w:lineRule="auto"/>
              <w:jc w:val="center"/>
              <w:rPr>
                <w:sz w:val="24"/>
                <w:szCs w:val="24"/>
              </w:rPr>
            </w:pPr>
            <w:r>
              <w:rPr>
                <w:sz w:val="24"/>
                <w:szCs w:val="24"/>
              </w:rPr>
              <w:t>0.2522</w:t>
            </w:r>
          </w:p>
        </w:tc>
        <w:tc>
          <w:tcPr>
            <w:tcW w:w="3827" w:type="dxa"/>
            <w:tcBorders>
              <w:bottom w:val="single" w:sz="4" w:space="0" w:color="000000"/>
            </w:tcBorders>
            <w:shd w:val="clear" w:color="auto" w:fill="auto"/>
            <w:vAlign w:val="bottom"/>
          </w:tcPr>
          <w:p w14:paraId="36468504" w14:textId="77777777" w:rsidR="00632A6A" w:rsidRDefault="004553F6">
            <w:pPr>
              <w:spacing w:line="276" w:lineRule="auto"/>
              <w:jc w:val="center"/>
              <w:rPr>
                <w:sz w:val="24"/>
                <w:szCs w:val="24"/>
              </w:rPr>
            </w:pPr>
            <w:r>
              <w:rPr>
                <w:sz w:val="24"/>
                <w:szCs w:val="24"/>
              </w:rPr>
              <w:t>Si</w:t>
            </w:r>
          </w:p>
        </w:tc>
      </w:tr>
    </w:tbl>
    <w:p w14:paraId="56518648"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1099499B" w14:textId="77777777" w:rsidR="00632A6A" w:rsidRDefault="00632A6A">
      <w:pPr>
        <w:pBdr>
          <w:top w:val="nil"/>
          <w:left w:val="nil"/>
          <w:bottom w:val="nil"/>
          <w:right w:val="nil"/>
          <w:between w:val="nil"/>
        </w:pBdr>
        <w:spacing w:line="360" w:lineRule="auto"/>
        <w:jc w:val="both"/>
        <w:rPr>
          <w:color w:val="000000"/>
          <w:sz w:val="24"/>
          <w:szCs w:val="24"/>
        </w:rPr>
      </w:pPr>
    </w:p>
    <w:p w14:paraId="63A983CB" w14:textId="77777777" w:rsidR="00632A6A" w:rsidRDefault="00632A6A">
      <w:pPr>
        <w:pBdr>
          <w:top w:val="nil"/>
          <w:left w:val="nil"/>
          <w:bottom w:val="nil"/>
          <w:right w:val="nil"/>
          <w:between w:val="nil"/>
        </w:pBdr>
        <w:spacing w:line="360" w:lineRule="auto"/>
        <w:jc w:val="both"/>
        <w:rPr>
          <w:color w:val="000000"/>
          <w:sz w:val="24"/>
          <w:szCs w:val="24"/>
        </w:rPr>
      </w:pPr>
    </w:p>
    <w:p w14:paraId="7931DD55" w14:textId="77777777" w:rsidR="00632A6A" w:rsidRDefault="004553F6">
      <w:pPr>
        <w:pBdr>
          <w:top w:val="nil"/>
          <w:left w:val="nil"/>
          <w:bottom w:val="nil"/>
          <w:right w:val="nil"/>
          <w:between w:val="nil"/>
        </w:pBdr>
        <w:spacing w:line="360" w:lineRule="auto"/>
        <w:jc w:val="both"/>
        <w:rPr>
          <w:color w:val="000000"/>
          <w:sz w:val="24"/>
          <w:szCs w:val="24"/>
        </w:rPr>
      </w:pPr>
      <w:r>
        <w:rPr>
          <w:color w:val="000000"/>
          <w:sz w:val="24"/>
          <w:szCs w:val="24"/>
        </w:rPr>
        <w:t>Tabla 8</w:t>
      </w:r>
    </w:p>
    <w:p w14:paraId="0904F6E0" w14:textId="77777777" w:rsidR="00632A6A" w:rsidRDefault="004553F6">
      <w:pPr>
        <w:pBdr>
          <w:top w:val="nil"/>
          <w:left w:val="nil"/>
          <w:bottom w:val="nil"/>
          <w:right w:val="nil"/>
          <w:between w:val="nil"/>
        </w:pBdr>
        <w:spacing w:line="360" w:lineRule="auto"/>
        <w:jc w:val="both"/>
        <w:rPr>
          <w:i/>
          <w:color w:val="000000"/>
          <w:sz w:val="24"/>
          <w:szCs w:val="24"/>
        </w:rPr>
      </w:pPr>
      <w:r>
        <w:rPr>
          <w:i/>
          <w:color w:val="000000"/>
          <w:sz w:val="24"/>
          <w:szCs w:val="24"/>
        </w:rPr>
        <w:t>Correlación (r) entre la cantidad de MYPES y recaudación tributaria</w:t>
      </w:r>
    </w:p>
    <w:tbl>
      <w:tblPr>
        <w:tblStyle w:val="a6"/>
        <w:tblW w:w="9356" w:type="dxa"/>
        <w:tblInd w:w="0" w:type="dxa"/>
        <w:tblLayout w:type="fixed"/>
        <w:tblLook w:val="0400" w:firstRow="0" w:lastRow="0" w:firstColumn="0" w:lastColumn="0" w:noHBand="0" w:noVBand="1"/>
      </w:tblPr>
      <w:tblGrid>
        <w:gridCol w:w="1985"/>
        <w:gridCol w:w="2126"/>
        <w:gridCol w:w="1843"/>
        <w:gridCol w:w="3402"/>
      </w:tblGrid>
      <w:tr w:rsidR="00632A6A" w14:paraId="75A8F470" w14:textId="77777777">
        <w:trPr>
          <w:trHeight w:val="461"/>
        </w:trPr>
        <w:tc>
          <w:tcPr>
            <w:tcW w:w="1985" w:type="dxa"/>
            <w:tcBorders>
              <w:top w:val="single" w:sz="4" w:space="0" w:color="000000"/>
              <w:bottom w:val="single" w:sz="4" w:space="0" w:color="000000"/>
            </w:tcBorders>
            <w:shd w:val="clear" w:color="auto" w:fill="FFFFFF"/>
            <w:vAlign w:val="center"/>
          </w:tcPr>
          <w:p w14:paraId="1E7F9F8E" w14:textId="77777777" w:rsidR="00632A6A" w:rsidRDefault="004553F6">
            <w:pPr>
              <w:spacing w:line="276" w:lineRule="auto"/>
              <w:jc w:val="center"/>
              <w:rPr>
                <w:sz w:val="24"/>
                <w:szCs w:val="24"/>
              </w:rPr>
            </w:pPr>
            <w:r>
              <w:rPr>
                <w:sz w:val="24"/>
                <w:szCs w:val="24"/>
              </w:rPr>
              <w:t>Grados de libertad</w:t>
            </w:r>
          </w:p>
        </w:tc>
        <w:tc>
          <w:tcPr>
            <w:tcW w:w="2126" w:type="dxa"/>
            <w:tcBorders>
              <w:top w:val="single" w:sz="4" w:space="0" w:color="000000"/>
              <w:bottom w:val="single" w:sz="4" w:space="0" w:color="000000"/>
            </w:tcBorders>
            <w:shd w:val="clear" w:color="auto" w:fill="FFFFFF"/>
            <w:vAlign w:val="center"/>
          </w:tcPr>
          <w:p w14:paraId="2118DC8F" w14:textId="77777777" w:rsidR="00632A6A" w:rsidRDefault="004553F6">
            <w:pPr>
              <w:spacing w:line="276" w:lineRule="auto"/>
              <w:jc w:val="center"/>
              <w:rPr>
                <w:sz w:val="24"/>
                <w:szCs w:val="24"/>
              </w:rPr>
            </w:pPr>
            <w:r>
              <w:rPr>
                <w:sz w:val="24"/>
                <w:szCs w:val="24"/>
              </w:rPr>
              <w:t>t</w:t>
            </w:r>
          </w:p>
        </w:tc>
        <w:tc>
          <w:tcPr>
            <w:tcW w:w="1843" w:type="dxa"/>
            <w:tcBorders>
              <w:top w:val="single" w:sz="4" w:space="0" w:color="000000"/>
              <w:bottom w:val="single" w:sz="4" w:space="0" w:color="000000"/>
            </w:tcBorders>
            <w:shd w:val="clear" w:color="auto" w:fill="auto"/>
            <w:vAlign w:val="center"/>
          </w:tcPr>
          <w:p w14:paraId="51D228D9" w14:textId="77777777" w:rsidR="00632A6A" w:rsidRDefault="004553F6">
            <w:pPr>
              <w:spacing w:line="276" w:lineRule="auto"/>
              <w:jc w:val="center"/>
              <w:rPr>
                <w:sz w:val="24"/>
                <w:szCs w:val="24"/>
              </w:rPr>
            </w:pPr>
            <w:r>
              <w:rPr>
                <w:sz w:val="24"/>
                <w:szCs w:val="24"/>
              </w:rPr>
              <w:t>p-valor</w:t>
            </w:r>
          </w:p>
        </w:tc>
        <w:tc>
          <w:tcPr>
            <w:tcW w:w="3402" w:type="dxa"/>
            <w:tcBorders>
              <w:top w:val="single" w:sz="4" w:space="0" w:color="000000"/>
              <w:bottom w:val="single" w:sz="4" w:space="0" w:color="000000"/>
            </w:tcBorders>
            <w:vAlign w:val="center"/>
          </w:tcPr>
          <w:p w14:paraId="0675F0F1" w14:textId="77777777" w:rsidR="00632A6A" w:rsidRDefault="004553F6">
            <w:pPr>
              <w:spacing w:line="276" w:lineRule="auto"/>
              <w:jc w:val="center"/>
              <w:rPr>
                <w:sz w:val="24"/>
                <w:szCs w:val="24"/>
              </w:rPr>
            </w:pPr>
            <w:r>
              <w:rPr>
                <w:sz w:val="24"/>
                <w:szCs w:val="24"/>
              </w:rPr>
              <w:t>r</w:t>
            </w:r>
          </w:p>
        </w:tc>
      </w:tr>
      <w:tr w:rsidR="00632A6A" w14:paraId="53182E80" w14:textId="77777777">
        <w:trPr>
          <w:trHeight w:val="106"/>
        </w:trPr>
        <w:tc>
          <w:tcPr>
            <w:tcW w:w="1985" w:type="dxa"/>
            <w:tcBorders>
              <w:top w:val="single" w:sz="4" w:space="0" w:color="000000"/>
              <w:bottom w:val="single" w:sz="4" w:space="0" w:color="000000"/>
            </w:tcBorders>
            <w:shd w:val="clear" w:color="auto" w:fill="FFFFFF"/>
            <w:vAlign w:val="bottom"/>
          </w:tcPr>
          <w:p w14:paraId="6DB650F0" w14:textId="77777777" w:rsidR="00632A6A" w:rsidRDefault="004553F6">
            <w:pPr>
              <w:spacing w:line="276" w:lineRule="auto"/>
              <w:jc w:val="center"/>
              <w:rPr>
                <w:sz w:val="24"/>
                <w:szCs w:val="24"/>
              </w:rPr>
            </w:pPr>
            <w:r>
              <w:rPr>
                <w:sz w:val="24"/>
                <w:szCs w:val="24"/>
              </w:rPr>
              <w:t>6</w:t>
            </w:r>
          </w:p>
        </w:tc>
        <w:tc>
          <w:tcPr>
            <w:tcW w:w="2126" w:type="dxa"/>
            <w:tcBorders>
              <w:top w:val="single" w:sz="4" w:space="0" w:color="000000"/>
              <w:bottom w:val="single" w:sz="4" w:space="0" w:color="000000"/>
            </w:tcBorders>
            <w:shd w:val="clear" w:color="auto" w:fill="FFFFFF"/>
            <w:vAlign w:val="bottom"/>
          </w:tcPr>
          <w:p w14:paraId="064C08E4" w14:textId="77777777" w:rsidR="00632A6A" w:rsidRDefault="004553F6">
            <w:pPr>
              <w:spacing w:line="276" w:lineRule="auto"/>
              <w:jc w:val="center"/>
              <w:rPr>
                <w:sz w:val="24"/>
                <w:szCs w:val="24"/>
              </w:rPr>
            </w:pPr>
            <w:r>
              <w:rPr>
                <w:sz w:val="24"/>
                <w:szCs w:val="24"/>
              </w:rPr>
              <w:t>6.392</w:t>
            </w:r>
          </w:p>
        </w:tc>
        <w:tc>
          <w:tcPr>
            <w:tcW w:w="1843" w:type="dxa"/>
            <w:tcBorders>
              <w:top w:val="single" w:sz="4" w:space="0" w:color="000000"/>
              <w:bottom w:val="single" w:sz="4" w:space="0" w:color="000000"/>
            </w:tcBorders>
            <w:shd w:val="clear" w:color="auto" w:fill="auto"/>
            <w:vAlign w:val="bottom"/>
          </w:tcPr>
          <w:p w14:paraId="2DFDD67D" w14:textId="77777777" w:rsidR="00632A6A" w:rsidRDefault="004553F6">
            <w:pPr>
              <w:spacing w:line="276" w:lineRule="auto"/>
              <w:jc w:val="center"/>
              <w:rPr>
                <w:sz w:val="24"/>
                <w:szCs w:val="24"/>
              </w:rPr>
            </w:pPr>
            <w:r>
              <w:rPr>
                <w:sz w:val="24"/>
                <w:szCs w:val="24"/>
              </w:rPr>
              <w:t>0.0006903</w:t>
            </w:r>
          </w:p>
        </w:tc>
        <w:tc>
          <w:tcPr>
            <w:tcW w:w="3402" w:type="dxa"/>
            <w:tcBorders>
              <w:top w:val="single" w:sz="4" w:space="0" w:color="000000"/>
              <w:bottom w:val="single" w:sz="4" w:space="0" w:color="000000"/>
            </w:tcBorders>
            <w:vAlign w:val="center"/>
          </w:tcPr>
          <w:p w14:paraId="7E1A5412" w14:textId="77777777" w:rsidR="00632A6A" w:rsidRDefault="004553F6">
            <w:pPr>
              <w:spacing w:line="276" w:lineRule="auto"/>
              <w:jc w:val="center"/>
              <w:rPr>
                <w:sz w:val="24"/>
                <w:szCs w:val="24"/>
              </w:rPr>
            </w:pPr>
            <w:r>
              <w:rPr>
                <w:sz w:val="24"/>
                <w:szCs w:val="24"/>
              </w:rPr>
              <w:t>0.9337835</w:t>
            </w:r>
          </w:p>
        </w:tc>
      </w:tr>
    </w:tbl>
    <w:p w14:paraId="61BCB6FF"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1FC52DF4" w14:textId="29566C3F" w:rsidR="00632A6A" w:rsidRDefault="000D26C6">
      <w:pPr>
        <w:pBdr>
          <w:top w:val="nil"/>
          <w:left w:val="nil"/>
          <w:bottom w:val="nil"/>
          <w:right w:val="nil"/>
          <w:between w:val="nil"/>
        </w:pBdr>
        <w:spacing w:line="360" w:lineRule="auto"/>
        <w:ind w:firstLine="720"/>
        <w:jc w:val="both"/>
        <w:rPr>
          <w:color w:val="000000"/>
          <w:sz w:val="24"/>
          <w:szCs w:val="24"/>
        </w:rPr>
      </w:pPr>
      <w:r w:rsidRPr="000D26C6">
        <w:rPr>
          <w:color w:val="000000"/>
          <w:sz w:val="24"/>
          <w:szCs w:val="24"/>
        </w:rPr>
        <w:t xml:space="preserve">Según la figura 2, mientras el crecimiento de MYPES aumenta de manera constante, se produce de forma simultánea el constante y continua incremento en la recaudación tributaria. Lo cual comprueba la hipótesis general, en el sentido </w:t>
      </w:r>
      <w:r w:rsidR="00502C77">
        <w:rPr>
          <w:color w:val="000000"/>
          <w:sz w:val="24"/>
          <w:szCs w:val="24"/>
        </w:rPr>
        <w:t xml:space="preserve">de </w:t>
      </w:r>
      <w:r w:rsidRPr="000D26C6">
        <w:rPr>
          <w:color w:val="000000"/>
          <w:sz w:val="24"/>
          <w:szCs w:val="24"/>
        </w:rPr>
        <w:t xml:space="preserve">que el crecimiento de las MYPES </w:t>
      </w:r>
      <w:r w:rsidR="00502C77">
        <w:rPr>
          <w:color w:val="000000"/>
          <w:sz w:val="24"/>
          <w:szCs w:val="24"/>
        </w:rPr>
        <w:t>se relaciona</w:t>
      </w:r>
      <w:r w:rsidRPr="000D26C6">
        <w:rPr>
          <w:color w:val="000000"/>
          <w:sz w:val="24"/>
          <w:szCs w:val="24"/>
        </w:rPr>
        <w:t xml:space="preserve"> significativamente </w:t>
      </w:r>
      <w:r w:rsidR="00502C77">
        <w:rPr>
          <w:color w:val="000000"/>
          <w:sz w:val="24"/>
          <w:szCs w:val="24"/>
        </w:rPr>
        <w:t>con</w:t>
      </w:r>
      <w:r w:rsidRPr="000D26C6">
        <w:rPr>
          <w:color w:val="000000"/>
          <w:sz w:val="24"/>
          <w:szCs w:val="24"/>
        </w:rPr>
        <w:t xml:space="preserve"> la recaudación tributaria durante el periodo 2012- 2019.</w:t>
      </w:r>
    </w:p>
    <w:p w14:paraId="6A80B0E5" w14:textId="77777777" w:rsidR="00632A6A" w:rsidRDefault="004553F6">
      <w:pPr>
        <w:keepNext/>
        <w:spacing w:before="240" w:line="360" w:lineRule="auto"/>
        <w:rPr>
          <w:i/>
          <w:sz w:val="24"/>
          <w:szCs w:val="24"/>
        </w:rPr>
      </w:pPr>
      <w:r>
        <w:rPr>
          <w:sz w:val="24"/>
          <w:szCs w:val="24"/>
        </w:rPr>
        <w:t>Figura 2</w:t>
      </w:r>
      <w:r>
        <w:rPr>
          <w:b/>
          <w:sz w:val="24"/>
          <w:szCs w:val="24"/>
        </w:rPr>
        <w:t xml:space="preserve"> </w:t>
      </w:r>
      <w:r>
        <w:rPr>
          <w:b/>
          <w:sz w:val="24"/>
          <w:szCs w:val="24"/>
        </w:rPr>
        <w:br/>
      </w:r>
      <w:r>
        <w:rPr>
          <w:i/>
          <w:sz w:val="24"/>
          <w:szCs w:val="24"/>
        </w:rPr>
        <w:t>Evolución de las MYPES respecto a los ingresos tributarios en Lima, 2012-2019</w:t>
      </w:r>
    </w:p>
    <w:p w14:paraId="660F376D" w14:textId="77777777" w:rsidR="00632A6A" w:rsidRDefault="004553F6">
      <w:pPr>
        <w:spacing w:before="240" w:line="360" w:lineRule="auto"/>
        <w:jc w:val="both"/>
        <w:rPr>
          <w:sz w:val="24"/>
          <w:szCs w:val="24"/>
        </w:rPr>
      </w:pPr>
      <w:r>
        <w:rPr>
          <w:noProof/>
          <w:sz w:val="24"/>
          <w:szCs w:val="24"/>
          <w:lang w:val="en-US" w:eastAsia="en-US"/>
        </w:rPr>
        <w:drawing>
          <wp:inline distT="0" distB="0" distL="0" distR="0" wp14:anchorId="287E99C2" wp14:editId="1BDD7135">
            <wp:extent cx="5894614" cy="3004458"/>
            <wp:effectExtent l="0" t="0" r="11430" b="571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0CE4290" w14:textId="77777777" w:rsidR="00632A6A" w:rsidRDefault="004553F6">
      <w:pPr>
        <w:spacing w:line="360" w:lineRule="auto"/>
        <w:jc w:val="both"/>
        <w:rPr>
          <w:color w:val="000000"/>
        </w:rPr>
      </w:pPr>
      <w:r>
        <w:rPr>
          <w:color w:val="000000"/>
        </w:rPr>
        <w:t xml:space="preserve">Fuente: Adaptado de SUNAT - Registro Único del Contribuyente 2012-2019, INEI - Encuesta Nacional de Hogares metodología actualizada (modulo empleo e ingresos), Anuario Estadístico Industrial PYMES y Comercio Interno (2019), Ministerio de la Producción - Las PYMES en cifras, 2012-2019. </w:t>
      </w:r>
    </w:p>
    <w:p w14:paraId="33DC72B8" w14:textId="77777777" w:rsidR="00632A6A" w:rsidRDefault="00632A6A">
      <w:pPr>
        <w:spacing w:line="360" w:lineRule="auto"/>
        <w:jc w:val="both"/>
        <w:rPr>
          <w:color w:val="000000"/>
        </w:rPr>
      </w:pPr>
    </w:p>
    <w:p w14:paraId="2B29BF9B" w14:textId="77777777" w:rsidR="00632A6A" w:rsidRDefault="00632A6A">
      <w:pPr>
        <w:spacing w:line="360" w:lineRule="auto"/>
        <w:jc w:val="both"/>
        <w:rPr>
          <w:color w:val="000000"/>
        </w:rPr>
      </w:pPr>
    </w:p>
    <w:p w14:paraId="7BA87113" w14:textId="77777777" w:rsidR="00632A6A" w:rsidRDefault="00632A6A">
      <w:pPr>
        <w:spacing w:line="360" w:lineRule="auto"/>
        <w:jc w:val="both"/>
        <w:rPr>
          <w:color w:val="000000"/>
        </w:rPr>
      </w:pPr>
    </w:p>
    <w:p w14:paraId="0806E8F5" w14:textId="77777777" w:rsidR="00632A6A" w:rsidRDefault="00632A6A">
      <w:pPr>
        <w:spacing w:line="360" w:lineRule="auto"/>
        <w:jc w:val="both"/>
        <w:rPr>
          <w:color w:val="000000"/>
        </w:rPr>
      </w:pPr>
    </w:p>
    <w:p w14:paraId="0C23A6A5" w14:textId="77777777" w:rsidR="00632A6A" w:rsidRDefault="00632A6A">
      <w:pPr>
        <w:pBdr>
          <w:top w:val="nil"/>
          <w:left w:val="nil"/>
          <w:bottom w:val="nil"/>
          <w:right w:val="nil"/>
          <w:between w:val="nil"/>
        </w:pBdr>
        <w:spacing w:line="360" w:lineRule="auto"/>
        <w:ind w:firstLine="357"/>
        <w:jc w:val="both"/>
        <w:rPr>
          <w:b/>
          <w:color w:val="000000"/>
          <w:sz w:val="24"/>
          <w:szCs w:val="24"/>
        </w:rPr>
      </w:pPr>
    </w:p>
    <w:p w14:paraId="4EBCBECA" w14:textId="77777777" w:rsidR="00632A6A" w:rsidRDefault="004553F6">
      <w:pPr>
        <w:pBdr>
          <w:top w:val="nil"/>
          <w:left w:val="nil"/>
          <w:bottom w:val="nil"/>
          <w:right w:val="nil"/>
          <w:between w:val="nil"/>
        </w:pBdr>
        <w:spacing w:line="360" w:lineRule="auto"/>
        <w:ind w:firstLine="357"/>
        <w:jc w:val="both"/>
        <w:rPr>
          <w:b/>
          <w:color w:val="000000"/>
          <w:sz w:val="24"/>
          <w:szCs w:val="24"/>
        </w:rPr>
      </w:pPr>
      <w:r>
        <w:rPr>
          <w:b/>
          <w:color w:val="000000"/>
          <w:sz w:val="24"/>
          <w:szCs w:val="24"/>
        </w:rPr>
        <w:t>4.2 Prueba de la primera hipótesis específica</w:t>
      </w:r>
    </w:p>
    <w:p w14:paraId="39F023B9"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4C974FF7" w14:textId="4A324F5F" w:rsidR="00632A6A" w:rsidRDefault="004553F6" w:rsidP="00671A27">
      <w:pPr>
        <w:pBdr>
          <w:top w:val="nil"/>
          <w:left w:val="nil"/>
          <w:bottom w:val="nil"/>
          <w:right w:val="nil"/>
          <w:between w:val="nil"/>
        </w:pBdr>
        <w:spacing w:line="360" w:lineRule="auto"/>
        <w:ind w:firstLine="357"/>
        <w:jc w:val="both"/>
        <w:rPr>
          <w:color w:val="000000"/>
          <w:sz w:val="24"/>
          <w:szCs w:val="24"/>
        </w:rPr>
      </w:pPr>
      <w:r>
        <w:rPr>
          <w:color w:val="000000"/>
          <w:sz w:val="24"/>
          <w:szCs w:val="24"/>
        </w:rPr>
        <w:t>Se ha verificado si existe correlación entre la recaudación de tributos y el crecimiento de las MYPES informales. A través de la prueba de Shapiro-Wilks</w:t>
      </w:r>
      <w:r w:rsidR="000D26C6">
        <w:rPr>
          <w:color w:val="000000"/>
          <w:sz w:val="24"/>
          <w:szCs w:val="24"/>
        </w:rPr>
        <w:t xml:space="preserve"> indicado en la Tabla 9</w:t>
      </w:r>
      <w:r>
        <w:rPr>
          <w:color w:val="000000"/>
          <w:sz w:val="24"/>
          <w:szCs w:val="24"/>
        </w:rPr>
        <w:t xml:space="preserve">, se determinó que ambas variables tienen una distribución normal, y a través de la prueba de correlación de Pearson </w:t>
      </w:r>
      <w:r w:rsidR="000D26C6">
        <w:rPr>
          <w:color w:val="000000"/>
          <w:sz w:val="24"/>
          <w:szCs w:val="24"/>
        </w:rPr>
        <w:t xml:space="preserve">indicado en la Tabla 10, </w:t>
      </w:r>
      <w:r>
        <w:rPr>
          <w:color w:val="000000"/>
          <w:sz w:val="24"/>
          <w:szCs w:val="24"/>
        </w:rPr>
        <w:t>se determinó que la correlación es negativa con un r = -0.698</w:t>
      </w:r>
      <w:r w:rsidR="000D26C6">
        <w:rPr>
          <w:color w:val="000000"/>
          <w:sz w:val="24"/>
          <w:szCs w:val="24"/>
        </w:rPr>
        <w:t xml:space="preserve">    </w:t>
      </w:r>
      <w:r>
        <w:rPr>
          <w:color w:val="000000"/>
          <w:sz w:val="24"/>
          <w:szCs w:val="24"/>
        </w:rPr>
        <w:t xml:space="preserve">Las dos variables tienden a desplazarse en diferentes direcciones. Entonces, si “X (cantidad de MYPES informales)” aumenta, la “Y (recaudación tributaria)” tiende a disminuir. </w:t>
      </w:r>
      <w:r w:rsidR="00671A27">
        <w:rPr>
          <w:color w:val="000000"/>
          <w:sz w:val="24"/>
          <w:szCs w:val="24"/>
        </w:rPr>
        <w:t>Así mismo, la ecuación obtenida que relaciona ambas variables es</w:t>
      </w:r>
      <w:r w:rsidR="00671A27">
        <w:rPr>
          <w:color w:val="000000"/>
          <w:sz w:val="24"/>
          <w:szCs w:val="24"/>
        </w:rPr>
        <w:t xml:space="preserve"> de Y = -0.6185X + 79081</w:t>
      </w:r>
      <w:r w:rsidR="00671A27">
        <w:rPr>
          <w:color w:val="000000"/>
          <w:sz w:val="24"/>
          <w:szCs w:val="24"/>
        </w:rPr>
        <w:t>.</w:t>
      </w:r>
    </w:p>
    <w:p w14:paraId="63E395D0"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2CF739A9" w14:textId="77777777" w:rsidR="00632A6A" w:rsidRDefault="004553F6">
      <w:pPr>
        <w:pBdr>
          <w:top w:val="nil"/>
          <w:left w:val="nil"/>
          <w:bottom w:val="nil"/>
          <w:right w:val="nil"/>
          <w:between w:val="nil"/>
        </w:pBdr>
        <w:spacing w:line="360" w:lineRule="auto"/>
        <w:jc w:val="both"/>
        <w:rPr>
          <w:color w:val="000000"/>
          <w:sz w:val="24"/>
          <w:szCs w:val="24"/>
        </w:rPr>
      </w:pPr>
      <w:r>
        <w:rPr>
          <w:color w:val="000000"/>
          <w:sz w:val="24"/>
          <w:szCs w:val="24"/>
        </w:rPr>
        <w:t>Tabla 9</w:t>
      </w:r>
    </w:p>
    <w:p w14:paraId="236BCDDB" w14:textId="77777777" w:rsidR="00632A6A" w:rsidRPr="000A14A9" w:rsidRDefault="004553F6">
      <w:pPr>
        <w:pBdr>
          <w:top w:val="nil"/>
          <w:left w:val="nil"/>
          <w:bottom w:val="nil"/>
          <w:right w:val="nil"/>
          <w:between w:val="nil"/>
        </w:pBdr>
        <w:spacing w:line="360" w:lineRule="auto"/>
        <w:jc w:val="both"/>
        <w:rPr>
          <w:i/>
          <w:sz w:val="24"/>
          <w:szCs w:val="24"/>
        </w:rPr>
      </w:pPr>
      <w:r w:rsidRPr="000A14A9">
        <w:rPr>
          <w:i/>
          <w:sz w:val="24"/>
          <w:szCs w:val="24"/>
        </w:rPr>
        <w:t>Prueba de Shapiro-Wilk para las variables informalidad laboral en las MYPES y recaudación tributaria</w:t>
      </w:r>
    </w:p>
    <w:tbl>
      <w:tblPr>
        <w:tblStyle w:val="a7"/>
        <w:tblW w:w="9356" w:type="dxa"/>
        <w:tblInd w:w="0" w:type="dxa"/>
        <w:tblLayout w:type="fixed"/>
        <w:tblLook w:val="0400" w:firstRow="0" w:lastRow="0" w:firstColumn="0" w:lastColumn="0" w:noHBand="0" w:noVBand="1"/>
      </w:tblPr>
      <w:tblGrid>
        <w:gridCol w:w="3686"/>
        <w:gridCol w:w="1843"/>
        <w:gridCol w:w="3827"/>
      </w:tblGrid>
      <w:tr w:rsidR="00632A6A" w14:paraId="6E0C312F" w14:textId="77777777">
        <w:trPr>
          <w:trHeight w:val="461"/>
        </w:trPr>
        <w:tc>
          <w:tcPr>
            <w:tcW w:w="3686" w:type="dxa"/>
            <w:tcBorders>
              <w:top w:val="single" w:sz="4" w:space="0" w:color="000000"/>
              <w:bottom w:val="single" w:sz="4" w:space="0" w:color="000000"/>
            </w:tcBorders>
            <w:shd w:val="clear" w:color="auto" w:fill="FFFFFF"/>
            <w:vAlign w:val="center"/>
          </w:tcPr>
          <w:p w14:paraId="79C50CA4" w14:textId="77777777" w:rsidR="00632A6A" w:rsidRDefault="004553F6">
            <w:pPr>
              <w:spacing w:line="276" w:lineRule="auto"/>
              <w:jc w:val="center"/>
              <w:rPr>
                <w:sz w:val="24"/>
                <w:szCs w:val="24"/>
              </w:rPr>
            </w:pPr>
            <w:r>
              <w:rPr>
                <w:sz w:val="24"/>
                <w:szCs w:val="24"/>
              </w:rPr>
              <w:t>Variable</w:t>
            </w:r>
          </w:p>
        </w:tc>
        <w:tc>
          <w:tcPr>
            <w:tcW w:w="1843" w:type="dxa"/>
            <w:tcBorders>
              <w:top w:val="single" w:sz="4" w:space="0" w:color="000000"/>
              <w:bottom w:val="single" w:sz="4" w:space="0" w:color="000000"/>
            </w:tcBorders>
            <w:shd w:val="clear" w:color="auto" w:fill="FFFFFF"/>
            <w:vAlign w:val="center"/>
          </w:tcPr>
          <w:p w14:paraId="1782F7BA" w14:textId="77777777" w:rsidR="00632A6A" w:rsidRDefault="004553F6">
            <w:pPr>
              <w:spacing w:line="276" w:lineRule="auto"/>
              <w:jc w:val="center"/>
              <w:rPr>
                <w:sz w:val="24"/>
                <w:szCs w:val="24"/>
              </w:rPr>
            </w:pPr>
            <w:r>
              <w:rPr>
                <w:sz w:val="24"/>
                <w:szCs w:val="24"/>
              </w:rPr>
              <w:t>P-valor</w:t>
            </w:r>
          </w:p>
        </w:tc>
        <w:tc>
          <w:tcPr>
            <w:tcW w:w="3827" w:type="dxa"/>
            <w:tcBorders>
              <w:top w:val="single" w:sz="4" w:space="0" w:color="000000"/>
              <w:bottom w:val="single" w:sz="4" w:space="0" w:color="000000"/>
            </w:tcBorders>
            <w:shd w:val="clear" w:color="auto" w:fill="auto"/>
            <w:vAlign w:val="center"/>
          </w:tcPr>
          <w:p w14:paraId="16664FB3" w14:textId="77777777" w:rsidR="00632A6A" w:rsidRDefault="004553F6">
            <w:pPr>
              <w:spacing w:line="276" w:lineRule="auto"/>
              <w:jc w:val="center"/>
              <w:rPr>
                <w:sz w:val="24"/>
                <w:szCs w:val="24"/>
              </w:rPr>
            </w:pPr>
            <w:r>
              <w:rPr>
                <w:sz w:val="24"/>
                <w:szCs w:val="24"/>
              </w:rPr>
              <w:t>Distribución normal</w:t>
            </w:r>
          </w:p>
        </w:tc>
      </w:tr>
      <w:tr w:rsidR="00632A6A" w14:paraId="7A9B2FF1" w14:textId="77777777">
        <w:trPr>
          <w:trHeight w:val="106"/>
        </w:trPr>
        <w:tc>
          <w:tcPr>
            <w:tcW w:w="3686" w:type="dxa"/>
            <w:tcBorders>
              <w:top w:val="single" w:sz="4" w:space="0" w:color="000000"/>
            </w:tcBorders>
            <w:shd w:val="clear" w:color="auto" w:fill="FFFFFF"/>
            <w:vAlign w:val="bottom"/>
          </w:tcPr>
          <w:p w14:paraId="64C7C9E3" w14:textId="77777777" w:rsidR="00632A6A" w:rsidRDefault="004553F6">
            <w:pPr>
              <w:spacing w:line="276" w:lineRule="auto"/>
              <w:jc w:val="center"/>
              <w:rPr>
                <w:sz w:val="24"/>
                <w:szCs w:val="24"/>
              </w:rPr>
            </w:pPr>
            <w:r>
              <w:rPr>
                <w:sz w:val="24"/>
                <w:szCs w:val="24"/>
              </w:rPr>
              <w:t>Informalidad laboral en las MYPES</w:t>
            </w:r>
          </w:p>
        </w:tc>
        <w:tc>
          <w:tcPr>
            <w:tcW w:w="1843" w:type="dxa"/>
            <w:tcBorders>
              <w:top w:val="single" w:sz="4" w:space="0" w:color="000000"/>
            </w:tcBorders>
            <w:shd w:val="clear" w:color="auto" w:fill="FFFFFF"/>
            <w:vAlign w:val="bottom"/>
          </w:tcPr>
          <w:p w14:paraId="5F99065E" w14:textId="77777777" w:rsidR="00632A6A" w:rsidRDefault="004553F6">
            <w:pPr>
              <w:spacing w:line="276" w:lineRule="auto"/>
              <w:jc w:val="center"/>
              <w:rPr>
                <w:sz w:val="24"/>
                <w:szCs w:val="24"/>
              </w:rPr>
            </w:pPr>
            <w:r>
              <w:rPr>
                <w:sz w:val="24"/>
                <w:szCs w:val="24"/>
              </w:rPr>
              <w:t>0.1438</w:t>
            </w:r>
          </w:p>
        </w:tc>
        <w:tc>
          <w:tcPr>
            <w:tcW w:w="3827" w:type="dxa"/>
            <w:tcBorders>
              <w:top w:val="single" w:sz="4" w:space="0" w:color="000000"/>
            </w:tcBorders>
            <w:shd w:val="clear" w:color="auto" w:fill="auto"/>
            <w:vAlign w:val="bottom"/>
          </w:tcPr>
          <w:p w14:paraId="0C963C7D" w14:textId="77777777" w:rsidR="00632A6A" w:rsidRDefault="004553F6">
            <w:pPr>
              <w:spacing w:line="276" w:lineRule="auto"/>
              <w:jc w:val="center"/>
              <w:rPr>
                <w:sz w:val="24"/>
                <w:szCs w:val="24"/>
              </w:rPr>
            </w:pPr>
            <w:r>
              <w:rPr>
                <w:sz w:val="24"/>
                <w:szCs w:val="24"/>
              </w:rPr>
              <w:t>Si</w:t>
            </w:r>
          </w:p>
        </w:tc>
      </w:tr>
      <w:tr w:rsidR="00632A6A" w14:paraId="7BE5E325" w14:textId="77777777">
        <w:trPr>
          <w:trHeight w:val="285"/>
        </w:trPr>
        <w:tc>
          <w:tcPr>
            <w:tcW w:w="3686" w:type="dxa"/>
            <w:tcBorders>
              <w:bottom w:val="single" w:sz="4" w:space="0" w:color="000000"/>
            </w:tcBorders>
            <w:shd w:val="clear" w:color="auto" w:fill="FFFFFF"/>
            <w:vAlign w:val="bottom"/>
          </w:tcPr>
          <w:p w14:paraId="2E8B3B05" w14:textId="77777777" w:rsidR="00632A6A" w:rsidRDefault="004553F6">
            <w:pPr>
              <w:spacing w:line="276" w:lineRule="auto"/>
              <w:jc w:val="center"/>
              <w:rPr>
                <w:sz w:val="24"/>
                <w:szCs w:val="24"/>
              </w:rPr>
            </w:pPr>
            <w:r>
              <w:rPr>
                <w:sz w:val="24"/>
                <w:szCs w:val="24"/>
              </w:rPr>
              <w:t>Recaudación tributaria</w:t>
            </w:r>
          </w:p>
        </w:tc>
        <w:tc>
          <w:tcPr>
            <w:tcW w:w="1843" w:type="dxa"/>
            <w:tcBorders>
              <w:bottom w:val="single" w:sz="4" w:space="0" w:color="000000"/>
            </w:tcBorders>
            <w:shd w:val="clear" w:color="auto" w:fill="FFFFFF"/>
            <w:vAlign w:val="bottom"/>
          </w:tcPr>
          <w:p w14:paraId="2E63FC12" w14:textId="77777777" w:rsidR="00632A6A" w:rsidRDefault="004553F6">
            <w:pPr>
              <w:spacing w:line="276" w:lineRule="auto"/>
              <w:jc w:val="center"/>
              <w:rPr>
                <w:sz w:val="24"/>
                <w:szCs w:val="24"/>
              </w:rPr>
            </w:pPr>
            <w:r>
              <w:rPr>
                <w:sz w:val="24"/>
                <w:szCs w:val="24"/>
              </w:rPr>
              <w:t>0.2522</w:t>
            </w:r>
          </w:p>
        </w:tc>
        <w:tc>
          <w:tcPr>
            <w:tcW w:w="3827" w:type="dxa"/>
            <w:tcBorders>
              <w:bottom w:val="single" w:sz="4" w:space="0" w:color="000000"/>
            </w:tcBorders>
            <w:shd w:val="clear" w:color="auto" w:fill="auto"/>
            <w:vAlign w:val="bottom"/>
          </w:tcPr>
          <w:p w14:paraId="4CC9FC6E" w14:textId="77777777" w:rsidR="00632A6A" w:rsidRDefault="004553F6">
            <w:pPr>
              <w:spacing w:line="276" w:lineRule="auto"/>
              <w:jc w:val="center"/>
              <w:rPr>
                <w:sz w:val="24"/>
                <w:szCs w:val="24"/>
              </w:rPr>
            </w:pPr>
            <w:r>
              <w:rPr>
                <w:sz w:val="24"/>
                <w:szCs w:val="24"/>
              </w:rPr>
              <w:t>Si</w:t>
            </w:r>
          </w:p>
        </w:tc>
      </w:tr>
    </w:tbl>
    <w:p w14:paraId="3D4804D1" w14:textId="77777777" w:rsidR="00632A6A" w:rsidRDefault="00632A6A">
      <w:pPr>
        <w:pBdr>
          <w:top w:val="nil"/>
          <w:left w:val="nil"/>
          <w:bottom w:val="nil"/>
          <w:right w:val="nil"/>
          <w:between w:val="nil"/>
        </w:pBdr>
        <w:spacing w:line="360" w:lineRule="auto"/>
        <w:jc w:val="both"/>
        <w:rPr>
          <w:color w:val="000000"/>
          <w:sz w:val="24"/>
          <w:szCs w:val="24"/>
        </w:rPr>
      </w:pPr>
    </w:p>
    <w:p w14:paraId="0EEDA1DE" w14:textId="77777777" w:rsidR="00632A6A" w:rsidRDefault="004553F6">
      <w:pPr>
        <w:pBdr>
          <w:top w:val="nil"/>
          <w:left w:val="nil"/>
          <w:bottom w:val="nil"/>
          <w:right w:val="nil"/>
          <w:between w:val="nil"/>
        </w:pBdr>
        <w:spacing w:line="360" w:lineRule="auto"/>
        <w:jc w:val="both"/>
        <w:rPr>
          <w:color w:val="000000"/>
          <w:sz w:val="24"/>
          <w:szCs w:val="24"/>
        </w:rPr>
      </w:pPr>
      <w:r>
        <w:rPr>
          <w:color w:val="000000"/>
          <w:sz w:val="24"/>
          <w:szCs w:val="24"/>
        </w:rPr>
        <w:t>Tabla 10</w:t>
      </w:r>
    </w:p>
    <w:p w14:paraId="4D677041" w14:textId="77777777" w:rsidR="00632A6A" w:rsidRDefault="004553F6">
      <w:pPr>
        <w:pBdr>
          <w:top w:val="nil"/>
          <w:left w:val="nil"/>
          <w:bottom w:val="nil"/>
          <w:right w:val="nil"/>
          <w:between w:val="nil"/>
        </w:pBdr>
        <w:spacing w:line="360" w:lineRule="auto"/>
        <w:jc w:val="both"/>
        <w:rPr>
          <w:color w:val="000000"/>
          <w:sz w:val="24"/>
          <w:szCs w:val="24"/>
        </w:rPr>
      </w:pPr>
      <w:r>
        <w:rPr>
          <w:i/>
          <w:color w:val="000000"/>
          <w:sz w:val="24"/>
          <w:szCs w:val="24"/>
        </w:rPr>
        <w:t>Correlación entre la informalidad laboral en las MYPES y recaudación tributaria</w:t>
      </w:r>
    </w:p>
    <w:tbl>
      <w:tblPr>
        <w:tblStyle w:val="a8"/>
        <w:tblW w:w="9356" w:type="dxa"/>
        <w:tblInd w:w="0" w:type="dxa"/>
        <w:tblLayout w:type="fixed"/>
        <w:tblLook w:val="0400" w:firstRow="0" w:lastRow="0" w:firstColumn="0" w:lastColumn="0" w:noHBand="0" w:noVBand="1"/>
      </w:tblPr>
      <w:tblGrid>
        <w:gridCol w:w="1985"/>
        <w:gridCol w:w="2126"/>
        <w:gridCol w:w="1843"/>
        <w:gridCol w:w="3402"/>
      </w:tblGrid>
      <w:tr w:rsidR="00632A6A" w14:paraId="59EFF22C" w14:textId="77777777">
        <w:trPr>
          <w:trHeight w:val="461"/>
        </w:trPr>
        <w:tc>
          <w:tcPr>
            <w:tcW w:w="1985" w:type="dxa"/>
            <w:tcBorders>
              <w:top w:val="single" w:sz="4" w:space="0" w:color="000000"/>
              <w:bottom w:val="single" w:sz="4" w:space="0" w:color="000000"/>
            </w:tcBorders>
            <w:shd w:val="clear" w:color="auto" w:fill="FFFFFF"/>
            <w:vAlign w:val="center"/>
          </w:tcPr>
          <w:p w14:paraId="144A46B5" w14:textId="77777777" w:rsidR="00632A6A" w:rsidRDefault="004553F6">
            <w:pPr>
              <w:spacing w:line="276" w:lineRule="auto"/>
              <w:jc w:val="center"/>
              <w:rPr>
                <w:sz w:val="24"/>
                <w:szCs w:val="24"/>
              </w:rPr>
            </w:pPr>
            <w:r>
              <w:rPr>
                <w:sz w:val="24"/>
                <w:szCs w:val="24"/>
              </w:rPr>
              <w:t>Grados de libertad</w:t>
            </w:r>
          </w:p>
        </w:tc>
        <w:tc>
          <w:tcPr>
            <w:tcW w:w="2126" w:type="dxa"/>
            <w:tcBorders>
              <w:top w:val="single" w:sz="4" w:space="0" w:color="000000"/>
              <w:bottom w:val="single" w:sz="4" w:space="0" w:color="000000"/>
            </w:tcBorders>
            <w:shd w:val="clear" w:color="auto" w:fill="FFFFFF"/>
            <w:vAlign w:val="center"/>
          </w:tcPr>
          <w:p w14:paraId="0087401C" w14:textId="77777777" w:rsidR="00632A6A" w:rsidRDefault="004553F6">
            <w:pPr>
              <w:spacing w:line="276" w:lineRule="auto"/>
              <w:jc w:val="center"/>
              <w:rPr>
                <w:sz w:val="24"/>
                <w:szCs w:val="24"/>
              </w:rPr>
            </w:pPr>
            <w:r>
              <w:rPr>
                <w:sz w:val="24"/>
                <w:szCs w:val="24"/>
              </w:rPr>
              <w:t>t</w:t>
            </w:r>
          </w:p>
        </w:tc>
        <w:tc>
          <w:tcPr>
            <w:tcW w:w="1843" w:type="dxa"/>
            <w:tcBorders>
              <w:top w:val="single" w:sz="4" w:space="0" w:color="000000"/>
              <w:bottom w:val="single" w:sz="4" w:space="0" w:color="000000"/>
            </w:tcBorders>
            <w:shd w:val="clear" w:color="auto" w:fill="auto"/>
            <w:vAlign w:val="center"/>
          </w:tcPr>
          <w:p w14:paraId="5FB3280B" w14:textId="77777777" w:rsidR="00632A6A" w:rsidRDefault="004553F6">
            <w:pPr>
              <w:spacing w:line="276" w:lineRule="auto"/>
              <w:jc w:val="center"/>
              <w:rPr>
                <w:sz w:val="24"/>
                <w:szCs w:val="24"/>
              </w:rPr>
            </w:pPr>
            <w:r>
              <w:rPr>
                <w:sz w:val="24"/>
                <w:szCs w:val="24"/>
              </w:rPr>
              <w:t>p-valor</w:t>
            </w:r>
          </w:p>
        </w:tc>
        <w:tc>
          <w:tcPr>
            <w:tcW w:w="3402" w:type="dxa"/>
            <w:tcBorders>
              <w:top w:val="single" w:sz="4" w:space="0" w:color="000000"/>
              <w:bottom w:val="single" w:sz="4" w:space="0" w:color="000000"/>
            </w:tcBorders>
            <w:vAlign w:val="center"/>
          </w:tcPr>
          <w:p w14:paraId="77141ED6" w14:textId="77777777" w:rsidR="00632A6A" w:rsidRDefault="004553F6">
            <w:pPr>
              <w:spacing w:line="276" w:lineRule="auto"/>
              <w:jc w:val="center"/>
              <w:rPr>
                <w:sz w:val="24"/>
                <w:szCs w:val="24"/>
              </w:rPr>
            </w:pPr>
            <w:r>
              <w:rPr>
                <w:sz w:val="24"/>
                <w:szCs w:val="24"/>
              </w:rPr>
              <w:t>r</w:t>
            </w:r>
          </w:p>
        </w:tc>
      </w:tr>
      <w:tr w:rsidR="00632A6A" w14:paraId="1995C6FD" w14:textId="77777777">
        <w:trPr>
          <w:trHeight w:val="106"/>
        </w:trPr>
        <w:tc>
          <w:tcPr>
            <w:tcW w:w="1985" w:type="dxa"/>
            <w:tcBorders>
              <w:top w:val="single" w:sz="4" w:space="0" w:color="000000"/>
              <w:bottom w:val="single" w:sz="4" w:space="0" w:color="000000"/>
            </w:tcBorders>
            <w:shd w:val="clear" w:color="auto" w:fill="FFFFFF"/>
            <w:vAlign w:val="bottom"/>
          </w:tcPr>
          <w:p w14:paraId="652A7AB1" w14:textId="77777777" w:rsidR="00632A6A" w:rsidRDefault="004553F6">
            <w:pPr>
              <w:spacing w:line="276" w:lineRule="auto"/>
              <w:jc w:val="center"/>
              <w:rPr>
                <w:sz w:val="24"/>
                <w:szCs w:val="24"/>
              </w:rPr>
            </w:pPr>
            <w:r>
              <w:rPr>
                <w:sz w:val="24"/>
                <w:szCs w:val="24"/>
              </w:rPr>
              <w:t>6</w:t>
            </w:r>
          </w:p>
        </w:tc>
        <w:tc>
          <w:tcPr>
            <w:tcW w:w="2126" w:type="dxa"/>
            <w:tcBorders>
              <w:top w:val="single" w:sz="4" w:space="0" w:color="000000"/>
              <w:bottom w:val="single" w:sz="4" w:space="0" w:color="000000"/>
            </w:tcBorders>
            <w:shd w:val="clear" w:color="auto" w:fill="FFFFFF"/>
            <w:vAlign w:val="bottom"/>
          </w:tcPr>
          <w:p w14:paraId="29B1CA0B" w14:textId="77777777" w:rsidR="00632A6A" w:rsidRDefault="004553F6">
            <w:pPr>
              <w:spacing w:line="276" w:lineRule="auto"/>
              <w:jc w:val="center"/>
              <w:rPr>
                <w:sz w:val="24"/>
                <w:szCs w:val="24"/>
              </w:rPr>
            </w:pPr>
            <w:r>
              <w:rPr>
                <w:sz w:val="24"/>
                <w:szCs w:val="24"/>
              </w:rPr>
              <w:t>-2.3985</w:t>
            </w:r>
          </w:p>
        </w:tc>
        <w:tc>
          <w:tcPr>
            <w:tcW w:w="1843" w:type="dxa"/>
            <w:tcBorders>
              <w:top w:val="single" w:sz="4" w:space="0" w:color="000000"/>
              <w:bottom w:val="single" w:sz="4" w:space="0" w:color="000000"/>
            </w:tcBorders>
            <w:shd w:val="clear" w:color="auto" w:fill="auto"/>
            <w:vAlign w:val="bottom"/>
          </w:tcPr>
          <w:p w14:paraId="24A0D77F" w14:textId="77777777" w:rsidR="00632A6A" w:rsidRDefault="004553F6">
            <w:pPr>
              <w:spacing w:line="276" w:lineRule="auto"/>
              <w:jc w:val="center"/>
              <w:rPr>
                <w:sz w:val="24"/>
                <w:szCs w:val="24"/>
              </w:rPr>
            </w:pPr>
            <w:r>
              <w:rPr>
                <w:sz w:val="24"/>
                <w:szCs w:val="24"/>
              </w:rPr>
              <w:t>0.05407</w:t>
            </w:r>
          </w:p>
        </w:tc>
        <w:tc>
          <w:tcPr>
            <w:tcW w:w="3402" w:type="dxa"/>
            <w:tcBorders>
              <w:top w:val="single" w:sz="4" w:space="0" w:color="000000"/>
              <w:bottom w:val="single" w:sz="4" w:space="0" w:color="000000"/>
            </w:tcBorders>
            <w:vAlign w:val="center"/>
          </w:tcPr>
          <w:p w14:paraId="4977F243" w14:textId="77777777" w:rsidR="00632A6A" w:rsidRDefault="004553F6">
            <w:pPr>
              <w:spacing w:line="276" w:lineRule="auto"/>
              <w:jc w:val="center"/>
              <w:rPr>
                <w:sz w:val="24"/>
                <w:szCs w:val="24"/>
              </w:rPr>
            </w:pPr>
            <w:r>
              <w:rPr>
                <w:sz w:val="24"/>
                <w:szCs w:val="24"/>
              </w:rPr>
              <w:t>-0.6982831</w:t>
            </w:r>
          </w:p>
        </w:tc>
      </w:tr>
    </w:tbl>
    <w:p w14:paraId="21FF98CD" w14:textId="77777777" w:rsidR="00632A6A" w:rsidRDefault="00632A6A">
      <w:pPr>
        <w:pBdr>
          <w:top w:val="nil"/>
          <w:left w:val="nil"/>
          <w:bottom w:val="nil"/>
          <w:right w:val="nil"/>
          <w:between w:val="nil"/>
        </w:pBdr>
        <w:spacing w:line="360" w:lineRule="auto"/>
        <w:jc w:val="both"/>
        <w:rPr>
          <w:color w:val="000000"/>
          <w:sz w:val="24"/>
          <w:szCs w:val="24"/>
        </w:rPr>
      </w:pPr>
    </w:p>
    <w:p w14:paraId="6595AF7C" w14:textId="15D514D2" w:rsidR="00632A6A" w:rsidRDefault="000A14A9">
      <w:pPr>
        <w:pBdr>
          <w:top w:val="nil"/>
          <w:left w:val="nil"/>
          <w:bottom w:val="nil"/>
          <w:right w:val="nil"/>
          <w:between w:val="nil"/>
        </w:pBdr>
        <w:spacing w:line="360" w:lineRule="auto"/>
        <w:ind w:firstLine="357"/>
        <w:jc w:val="both"/>
        <w:rPr>
          <w:color w:val="000000"/>
          <w:sz w:val="24"/>
          <w:szCs w:val="24"/>
        </w:rPr>
      </w:pPr>
      <w:r>
        <w:rPr>
          <w:color w:val="000000"/>
          <w:sz w:val="24"/>
          <w:szCs w:val="24"/>
        </w:rPr>
        <w:t>Según la figura 3, mientras que el número de MYPES informales decrece de manera constante, se produce el incremento en la recaudación tributaria, lo cual comprueba la primera hipótesis específica, en el sentido</w:t>
      </w:r>
      <w:r w:rsidR="00502C77">
        <w:rPr>
          <w:color w:val="000000"/>
          <w:sz w:val="24"/>
          <w:szCs w:val="24"/>
        </w:rPr>
        <w:t xml:space="preserve"> de</w:t>
      </w:r>
      <w:r>
        <w:rPr>
          <w:color w:val="000000"/>
          <w:sz w:val="24"/>
          <w:szCs w:val="24"/>
        </w:rPr>
        <w:t xml:space="preserve"> que la informalidad en las MYPES </w:t>
      </w:r>
      <w:r w:rsidR="00502C77">
        <w:rPr>
          <w:color w:val="000000"/>
          <w:sz w:val="24"/>
          <w:szCs w:val="24"/>
        </w:rPr>
        <w:t>se relaciona</w:t>
      </w:r>
      <w:r>
        <w:rPr>
          <w:color w:val="000000"/>
          <w:sz w:val="24"/>
          <w:szCs w:val="24"/>
        </w:rPr>
        <w:t xml:space="preserve"> de forma significativa en la recaudación tributaria.</w:t>
      </w:r>
    </w:p>
    <w:p w14:paraId="3A7A1F09" w14:textId="77777777" w:rsidR="00632A6A" w:rsidRDefault="00632A6A">
      <w:pPr>
        <w:pBdr>
          <w:top w:val="nil"/>
          <w:left w:val="nil"/>
          <w:bottom w:val="nil"/>
          <w:right w:val="nil"/>
          <w:between w:val="nil"/>
        </w:pBdr>
        <w:spacing w:line="360" w:lineRule="auto"/>
        <w:jc w:val="both"/>
        <w:rPr>
          <w:color w:val="000000"/>
          <w:sz w:val="24"/>
          <w:szCs w:val="24"/>
        </w:rPr>
      </w:pPr>
    </w:p>
    <w:p w14:paraId="7A0560D3" w14:textId="77777777" w:rsidR="00632A6A" w:rsidRDefault="004553F6">
      <w:pPr>
        <w:keepNext/>
        <w:spacing w:before="240" w:line="360" w:lineRule="auto"/>
        <w:rPr>
          <w:sz w:val="24"/>
          <w:szCs w:val="24"/>
        </w:rPr>
      </w:pPr>
      <w:r>
        <w:rPr>
          <w:sz w:val="24"/>
          <w:szCs w:val="24"/>
        </w:rPr>
        <w:lastRenderedPageBreak/>
        <w:t xml:space="preserve">Figura 3 </w:t>
      </w:r>
    </w:p>
    <w:p w14:paraId="3B608693" w14:textId="45CE6EB1" w:rsidR="00632A6A" w:rsidRDefault="004553F6">
      <w:pPr>
        <w:keepNext/>
        <w:spacing w:line="360" w:lineRule="auto"/>
        <w:rPr>
          <w:i/>
          <w:sz w:val="24"/>
          <w:szCs w:val="24"/>
        </w:rPr>
      </w:pPr>
      <w:r>
        <w:rPr>
          <w:i/>
          <w:sz w:val="24"/>
          <w:szCs w:val="24"/>
        </w:rPr>
        <w:t xml:space="preserve">Informalidad en las MYPES y su </w:t>
      </w:r>
      <w:r w:rsidR="00502C77">
        <w:rPr>
          <w:i/>
          <w:sz w:val="24"/>
          <w:szCs w:val="24"/>
        </w:rPr>
        <w:t>relación</w:t>
      </w:r>
      <w:r>
        <w:rPr>
          <w:i/>
          <w:sz w:val="24"/>
          <w:szCs w:val="24"/>
        </w:rPr>
        <w:t xml:space="preserve"> en la recaudación de tributos, periodo 2012-2019.</w:t>
      </w:r>
    </w:p>
    <w:p w14:paraId="01177C10" w14:textId="63A614DF" w:rsidR="00632A6A" w:rsidRDefault="004553F6">
      <w:pPr>
        <w:spacing w:line="360" w:lineRule="auto"/>
        <w:jc w:val="both"/>
        <w:rPr>
          <w:color w:val="FF0000"/>
        </w:rPr>
      </w:pPr>
      <w:r>
        <w:rPr>
          <w:noProof/>
          <w:sz w:val="24"/>
          <w:szCs w:val="24"/>
          <w:lang w:val="en-US" w:eastAsia="en-US"/>
        </w:rPr>
        <w:drawing>
          <wp:inline distT="0" distB="0" distL="0" distR="0" wp14:anchorId="194CCDE8" wp14:editId="3283F3FB">
            <wp:extent cx="5888736" cy="2626157"/>
            <wp:effectExtent l="0" t="0" r="17145" b="317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color w:val="000000"/>
        </w:rPr>
        <w:t xml:space="preserve">Fuente: Adaptado de SUNAT, Registro Único del Contribuyente 2012-2019, INEI - Encuesta Nacional de Hogares metodología actualizada (modulo empleo e ingresos), Anuario Estadístico Industrial </w:t>
      </w:r>
      <w:r w:rsidR="000644BD">
        <w:rPr>
          <w:color w:val="000000"/>
        </w:rPr>
        <w:t xml:space="preserve">MYPES </w:t>
      </w:r>
      <w:r>
        <w:rPr>
          <w:color w:val="000000"/>
        </w:rPr>
        <w:t xml:space="preserve">y Comercio Interno (2019), Ministerio de la Producción - Las </w:t>
      </w:r>
      <w:r w:rsidR="000644BD">
        <w:rPr>
          <w:color w:val="000000"/>
        </w:rPr>
        <w:t>MYPES</w:t>
      </w:r>
      <w:r>
        <w:rPr>
          <w:color w:val="000000"/>
        </w:rPr>
        <w:t xml:space="preserve"> en cifras, 2012-2019. </w:t>
      </w:r>
    </w:p>
    <w:p w14:paraId="7CFF304D"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64ECE68B" w14:textId="77777777" w:rsidR="00632A6A" w:rsidRDefault="004553F6">
      <w:pPr>
        <w:pBdr>
          <w:top w:val="nil"/>
          <w:left w:val="nil"/>
          <w:bottom w:val="nil"/>
          <w:right w:val="nil"/>
          <w:between w:val="nil"/>
        </w:pBdr>
        <w:spacing w:before="240" w:line="360" w:lineRule="auto"/>
        <w:ind w:firstLine="284"/>
        <w:jc w:val="both"/>
        <w:rPr>
          <w:b/>
          <w:color w:val="000000"/>
          <w:sz w:val="24"/>
          <w:szCs w:val="24"/>
        </w:rPr>
      </w:pPr>
      <w:r>
        <w:rPr>
          <w:b/>
          <w:color w:val="000000"/>
          <w:sz w:val="24"/>
          <w:szCs w:val="24"/>
        </w:rPr>
        <w:t>4.3 Prueba de la segunda hipótesis específica</w:t>
      </w:r>
    </w:p>
    <w:p w14:paraId="6F554F84"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36D85FCF" w14:textId="43DC2B71" w:rsidR="00632A6A" w:rsidRDefault="004553F6" w:rsidP="00671A27">
      <w:pPr>
        <w:pBdr>
          <w:top w:val="nil"/>
          <w:left w:val="nil"/>
          <w:bottom w:val="nil"/>
          <w:right w:val="nil"/>
          <w:between w:val="nil"/>
        </w:pBdr>
        <w:spacing w:line="360" w:lineRule="auto"/>
        <w:ind w:firstLine="357"/>
        <w:jc w:val="both"/>
        <w:rPr>
          <w:color w:val="000000"/>
          <w:sz w:val="24"/>
          <w:szCs w:val="24"/>
        </w:rPr>
      </w:pPr>
      <w:r>
        <w:rPr>
          <w:color w:val="000000"/>
          <w:sz w:val="24"/>
          <w:szCs w:val="24"/>
        </w:rPr>
        <w:t>Se ha verificado si existe correlación entre la recaudación de tributos y el nivel de educación superior. A través de la prueba de Shapiro-Wilks</w:t>
      </w:r>
      <w:r w:rsidR="000A14A9">
        <w:rPr>
          <w:color w:val="000000"/>
          <w:sz w:val="24"/>
          <w:szCs w:val="24"/>
        </w:rPr>
        <w:t xml:space="preserve"> indicado en la Tabla 11</w:t>
      </w:r>
      <w:r>
        <w:rPr>
          <w:color w:val="000000"/>
          <w:sz w:val="24"/>
          <w:szCs w:val="24"/>
        </w:rPr>
        <w:t>, se determinó que ambas variables tienen una distribución normal</w:t>
      </w:r>
      <w:r w:rsidR="000A14A9">
        <w:rPr>
          <w:color w:val="000000"/>
          <w:sz w:val="24"/>
          <w:szCs w:val="24"/>
        </w:rPr>
        <w:t xml:space="preserve">, </w:t>
      </w:r>
      <w:r>
        <w:rPr>
          <w:color w:val="000000"/>
          <w:sz w:val="24"/>
          <w:szCs w:val="24"/>
        </w:rPr>
        <w:t>y a través de la prueba de correlación de Pearson</w:t>
      </w:r>
      <w:r w:rsidR="000A14A9">
        <w:rPr>
          <w:color w:val="000000"/>
          <w:sz w:val="24"/>
          <w:szCs w:val="24"/>
        </w:rPr>
        <w:t xml:space="preserve"> indicado en la Tabla 12,</w:t>
      </w:r>
      <w:r>
        <w:rPr>
          <w:color w:val="000000"/>
          <w:sz w:val="24"/>
          <w:szCs w:val="24"/>
        </w:rPr>
        <w:t xml:space="preserve"> se determinó que la correlación es positiva con un r = 0.634</w:t>
      </w:r>
      <w:r w:rsidR="000A14A9">
        <w:rPr>
          <w:color w:val="000000"/>
          <w:sz w:val="24"/>
          <w:szCs w:val="24"/>
        </w:rPr>
        <w:t xml:space="preserve">. </w:t>
      </w:r>
      <w:r>
        <w:rPr>
          <w:color w:val="000000"/>
          <w:sz w:val="24"/>
          <w:szCs w:val="24"/>
        </w:rPr>
        <w:t>Las dos variables tienden a desplazarse en la misma dirección. Entonces, si “X (nivel de educación superior)” aumenta, la “Y (recaudación tributaria)” tiende a aumentar.</w:t>
      </w:r>
      <w:r w:rsidR="00671A27">
        <w:rPr>
          <w:color w:val="000000"/>
          <w:sz w:val="24"/>
          <w:szCs w:val="24"/>
        </w:rPr>
        <w:t xml:space="preserve"> </w:t>
      </w:r>
      <w:r w:rsidR="00671A27">
        <w:rPr>
          <w:color w:val="000000"/>
          <w:sz w:val="24"/>
          <w:szCs w:val="24"/>
        </w:rPr>
        <w:t>Así mismo, la ecuación obtenida que relaciona ambas variables es</w:t>
      </w:r>
      <w:r w:rsidR="00671A27">
        <w:rPr>
          <w:color w:val="000000"/>
          <w:sz w:val="24"/>
          <w:szCs w:val="24"/>
        </w:rPr>
        <w:t xml:space="preserve"> de Y = 0.7659X + 25393</w:t>
      </w:r>
      <w:r w:rsidR="00671A27">
        <w:rPr>
          <w:color w:val="000000"/>
          <w:sz w:val="24"/>
          <w:szCs w:val="24"/>
        </w:rPr>
        <w:t>.</w:t>
      </w:r>
    </w:p>
    <w:p w14:paraId="25E04E8F"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29328CEE" w14:textId="77777777" w:rsidR="00632A6A" w:rsidRDefault="004553F6">
      <w:pPr>
        <w:pBdr>
          <w:top w:val="nil"/>
          <w:left w:val="nil"/>
          <w:bottom w:val="nil"/>
          <w:right w:val="nil"/>
          <w:between w:val="nil"/>
        </w:pBdr>
        <w:spacing w:line="360" w:lineRule="auto"/>
        <w:jc w:val="both"/>
        <w:rPr>
          <w:color w:val="000000"/>
          <w:sz w:val="24"/>
          <w:szCs w:val="24"/>
        </w:rPr>
      </w:pPr>
      <w:r>
        <w:rPr>
          <w:color w:val="000000"/>
          <w:sz w:val="24"/>
          <w:szCs w:val="24"/>
        </w:rPr>
        <w:t>Tabla 11</w:t>
      </w:r>
    </w:p>
    <w:p w14:paraId="13555D28" w14:textId="77777777" w:rsidR="00632A6A" w:rsidRDefault="004553F6">
      <w:pPr>
        <w:pBdr>
          <w:top w:val="nil"/>
          <w:left w:val="nil"/>
          <w:bottom w:val="nil"/>
          <w:right w:val="nil"/>
          <w:between w:val="nil"/>
        </w:pBdr>
        <w:spacing w:line="360" w:lineRule="auto"/>
        <w:jc w:val="both"/>
        <w:rPr>
          <w:i/>
          <w:color w:val="000000"/>
          <w:sz w:val="24"/>
          <w:szCs w:val="24"/>
        </w:rPr>
      </w:pPr>
      <w:r>
        <w:rPr>
          <w:i/>
          <w:color w:val="000000"/>
          <w:sz w:val="24"/>
          <w:szCs w:val="24"/>
        </w:rPr>
        <w:t>Prueba de Shapiro-Wilk para las variables nivel de educación superior y recaudación tributaria</w:t>
      </w:r>
    </w:p>
    <w:tbl>
      <w:tblPr>
        <w:tblStyle w:val="a9"/>
        <w:tblW w:w="9356" w:type="dxa"/>
        <w:tblInd w:w="0" w:type="dxa"/>
        <w:tblLayout w:type="fixed"/>
        <w:tblLook w:val="0400" w:firstRow="0" w:lastRow="0" w:firstColumn="0" w:lastColumn="0" w:noHBand="0" w:noVBand="1"/>
      </w:tblPr>
      <w:tblGrid>
        <w:gridCol w:w="3686"/>
        <w:gridCol w:w="1843"/>
        <w:gridCol w:w="3827"/>
      </w:tblGrid>
      <w:tr w:rsidR="00632A6A" w14:paraId="14839311" w14:textId="77777777">
        <w:trPr>
          <w:trHeight w:val="461"/>
        </w:trPr>
        <w:tc>
          <w:tcPr>
            <w:tcW w:w="3686" w:type="dxa"/>
            <w:tcBorders>
              <w:top w:val="single" w:sz="4" w:space="0" w:color="000000"/>
              <w:bottom w:val="single" w:sz="4" w:space="0" w:color="000000"/>
            </w:tcBorders>
            <w:shd w:val="clear" w:color="auto" w:fill="FFFFFF"/>
            <w:vAlign w:val="center"/>
          </w:tcPr>
          <w:p w14:paraId="4CE38113" w14:textId="77777777" w:rsidR="00632A6A" w:rsidRDefault="004553F6">
            <w:pPr>
              <w:spacing w:line="276" w:lineRule="auto"/>
              <w:jc w:val="center"/>
              <w:rPr>
                <w:sz w:val="24"/>
                <w:szCs w:val="24"/>
              </w:rPr>
            </w:pPr>
            <w:r>
              <w:rPr>
                <w:sz w:val="24"/>
                <w:szCs w:val="24"/>
              </w:rPr>
              <w:t>Variable</w:t>
            </w:r>
          </w:p>
        </w:tc>
        <w:tc>
          <w:tcPr>
            <w:tcW w:w="1843" w:type="dxa"/>
            <w:tcBorders>
              <w:top w:val="single" w:sz="4" w:space="0" w:color="000000"/>
              <w:bottom w:val="single" w:sz="4" w:space="0" w:color="000000"/>
            </w:tcBorders>
            <w:shd w:val="clear" w:color="auto" w:fill="FFFFFF"/>
            <w:vAlign w:val="center"/>
          </w:tcPr>
          <w:p w14:paraId="4EDBA2EC" w14:textId="77777777" w:rsidR="00632A6A" w:rsidRDefault="004553F6">
            <w:pPr>
              <w:spacing w:line="276" w:lineRule="auto"/>
              <w:jc w:val="center"/>
              <w:rPr>
                <w:sz w:val="24"/>
                <w:szCs w:val="24"/>
              </w:rPr>
            </w:pPr>
            <w:r>
              <w:rPr>
                <w:sz w:val="24"/>
                <w:szCs w:val="24"/>
              </w:rPr>
              <w:t>P-valor</w:t>
            </w:r>
          </w:p>
        </w:tc>
        <w:tc>
          <w:tcPr>
            <w:tcW w:w="3827" w:type="dxa"/>
            <w:tcBorders>
              <w:top w:val="single" w:sz="4" w:space="0" w:color="000000"/>
              <w:bottom w:val="single" w:sz="4" w:space="0" w:color="000000"/>
            </w:tcBorders>
            <w:shd w:val="clear" w:color="auto" w:fill="auto"/>
            <w:vAlign w:val="center"/>
          </w:tcPr>
          <w:p w14:paraId="5B061C96" w14:textId="77777777" w:rsidR="00632A6A" w:rsidRDefault="004553F6">
            <w:pPr>
              <w:spacing w:line="276" w:lineRule="auto"/>
              <w:jc w:val="center"/>
              <w:rPr>
                <w:sz w:val="24"/>
                <w:szCs w:val="24"/>
              </w:rPr>
            </w:pPr>
            <w:r>
              <w:rPr>
                <w:sz w:val="24"/>
                <w:szCs w:val="24"/>
              </w:rPr>
              <w:t>Distribución normal</w:t>
            </w:r>
          </w:p>
        </w:tc>
      </w:tr>
      <w:tr w:rsidR="00632A6A" w14:paraId="6E849957" w14:textId="77777777">
        <w:trPr>
          <w:trHeight w:val="106"/>
        </w:trPr>
        <w:tc>
          <w:tcPr>
            <w:tcW w:w="3686" w:type="dxa"/>
            <w:tcBorders>
              <w:top w:val="single" w:sz="4" w:space="0" w:color="000000"/>
            </w:tcBorders>
            <w:shd w:val="clear" w:color="auto" w:fill="FFFFFF"/>
            <w:vAlign w:val="bottom"/>
          </w:tcPr>
          <w:p w14:paraId="16ADAE39" w14:textId="77777777" w:rsidR="00632A6A" w:rsidRDefault="004553F6">
            <w:pPr>
              <w:spacing w:line="276" w:lineRule="auto"/>
              <w:jc w:val="center"/>
              <w:rPr>
                <w:sz w:val="24"/>
                <w:szCs w:val="24"/>
              </w:rPr>
            </w:pPr>
            <w:r>
              <w:rPr>
                <w:sz w:val="24"/>
                <w:szCs w:val="24"/>
              </w:rPr>
              <w:t>Nivel de educación superior</w:t>
            </w:r>
          </w:p>
        </w:tc>
        <w:tc>
          <w:tcPr>
            <w:tcW w:w="1843" w:type="dxa"/>
            <w:tcBorders>
              <w:top w:val="single" w:sz="4" w:space="0" w:color="000000"/>
            </w:tcBorders>
            <w:shd w:val="clear" w:color="auto" w:fill="FFFFFF"/>
            <w:vAlign w:val="bottom"/>
          </w:tcPr>
          <w:p w14:paraId="20017948" w14:textId="77777777" w:rsidR="00632A6A" w:rsidRDefault="004553F6">
            <w:pPr>
              <w:spacing w:line="276" w:lineRule="auto"/>
              <w:jc w:val="center"/>
              <w:rPr>
                <w:sz w:val="24"/>
                <w:szCs w:val="24"/>
              </w:rPr>
            </w:pPr>
            <w:r>
              <w:rPr>
                <w:sz w:val="24"/>
                <w:szCs w:val="24"/>
              </w:rPr>
              <w:t>0.4118</w:t>
            </w:r>
          </w:p>
        </w:tc>
        <w:tc>
          <w:tcPr>
            <w:tcW w:w="3827" w:type="dxa"/>
            <w:tcBorders>
              <w:top w:val="single" w:sz="4" w:space="0" w:color="000000"/>
            </w:tcBorders>
            <w:shd w:val="clear" w:color="auto" w:fill="auto"/>
            <w:vAlign w:val="bottom"/>
          </w:tcPr>
          <w:p w14:paraId="739677F3" w14:textId="77777777" w:rsidR="00632A6A" w:rsidRDefault="004553F6">
            <w:pPr>
              <w:spacing w:line="276" w:lineRule="auto"/>
              <w:jc w:val="center"/>
              <w:rPr>
                <w:sz w:val="24"/>
                <w:szCs w:val="24"/>
              </w:rPr>
            </w:pPr>
            <w:r>
              <w:rPr>
                <w:sz w:val="24"/>
                <w:szCs w:val="24"/>
              </w:rPr>
              <w:t>Si</w:t>
            </w:r>
          </w:p>
        </w:tc>
      </w:tr>
      <w:tr w:rsidR="00632A6A" w14:paraId="6DE1354D" w14:textId="77777777">
        <w:trPr>
          <w:trHeight w:val="285"/>
        </w:trPr>
        <w:tc>
          <w:tcPr>
            <w:tcW w:w="3686" w:type="dxa"/>
            <w:tcBorders>
              <w:bottom w:val="single" w:sz="4" w:space="0" w:color="000000"/>
            </w:tcBorders>
            <w:shd w:val="clear" w:color="auto" w:fill="FFFFFF"/>
            <w:vAlign w:val="bottom"/>
          </w:tcPr>
          <w:p w14:paraId="6FFB8661" w14:textId="77777777" w:rsidR="00632A6A" w:rsidRDefault="004553F6">
            <w:pPr>
              <w:spacing w:line="276" w:lineRule="auto"/>
              <w:jc w:val="center"/>
              <w:rPr>
                <w:sz w:val="24"/>
                <w:szCs w:val="24"/>
              </w:rPr>
            </w:pPr>
            <w:r>
              <w:rPr>
                <w:sz w:val="24"/>
                <w:szCs w:val="24"/>
              </w:rPr>
              <w:t>Recaudación tributaria</w:t>
            </w:r>
          </w:p>
        </w:tc>
        <w:tc>
          <w:tcPr>
            <w:tcW w:w="1843" w:type="dxa"/>
            <w:tcBorders>
              <w:bottom w:val="single" w:sz="4" w:space="0" w:color="000000"/>
            </w:tcBorders>
            <w:shd w:val="clear" w:color="auto" w:fill="FFFFFF"/>
            <w:vAlign w:val="bottom"/>
          </w:tcPr>
          <w:p w14:paraId="1F5F271C" w14:textId="77777777" w:rsidR="00632A6A" w:rsidRDefault="004553F6">
            <w:pPr>
              <w:spacing w:line="276" w:lineRule="auto"/>
              <w:jc w:val="center"/>
              <w:rPr>
                <w:sz w:val="24"/>
                <w:szCs w:val="24"/>
              </w:rPr>
            </w:pPr>
            <w:r>
              <w:rPr>
                <w:sz w:val="24"/>
                <w:szCs w:val="24"/>
              </w:rPr>
              <w:t>0.2522</w:t>
            </w:r>
          </w:p>
        </w:tc>
        <w:tc>
          <w:tcPr>
            <w:tcW w:w="3827" w:type="dxa"/>
            <w:tcBorders>
              <w:bottom w:val="single" w:sz="4" w:space="0" w:color="000000"/>
            </w:tcBorders>
            <w:shd w:val="clear" w:color="auto" w:fill="auto"/>
            <w:vAlign w:val="bottom"/>
          </w:tcPr>
          <w:p w14:paraId="206C17FE" w14:textId="77777777" w:rsidR="00632A6A" w:rsidRDefault="004553F6">
            <w:pPr>
              <w:spacing w:line="276" w:lineRule="auto"/>
              <w:jc w:val="center"/>
              <w:rPr>
                <w:sz w:val="24"/>
                <w:szCs w:val="24"/>
              </w:rPr>
            </w:pPr>
            <w:r>
              <w:rPr>
                <w:sz w:val="24"/>
                <w:szCs w:val="24"/>
              </w:rPr>
              <w:t>Si</w:t>
            </w:r>
          </w:p>
        </w:tc>
      </w:tr>
    </w:tbl>
    <w:p w14:paraId="73C6B67E" w14:textId="77777777" w:rsidR="00632A6A" w:rsidRDefault="00632A6A">
      <w:pPr>
        <w:pBdr>
          <w:top w:val="nil"/>
          <w:left w:val="nil"/>
          <w:bottom w:val="nil"/>
          <w:right w:val="nil"/>
          <w:between w:val="nil"/>
        </w:pBdr>
        <w:spacing w:line="360" w:lineRule="auto"/>
        <w:jc w:val="both"/>
        <w:rPr>
          <w:color w:val="000000"/>
          <w:sz w:val="24"/>
          <w:szCs w:val="24"/>
        </w:rPr>
      </w:pPr>
    </w:p>
    <w:p w14:paraId="2953F2CA" w14:textId="77777777" w:rsidR="00632A6A" w:rsidRDefault="004553F6">
      <w:pPr>
        <w:pBdr>
          <w:top w:val="nil"/>
          <w:left w:val="nil"/>
          <w:bottom w:val="nil"/>
          <w:right w:val="nil"/>
          <w:between w:val="nil"/>
        </w:pBdr>
        <w:spacing w:line="360" w:lineRule="auto"/>
        <w:jc w:val="both"/>
        <w:rPr>
          <w:color w:val="000000"/>
          <w:sz w:val="24"/>
          <w:szCs w:val="24"/>
        </w:rPr>
      </w:pPr>
      <w:r>
        <w:rPr>
          <w:color w:val="000000"/>
          <w:sz w:val="24"/>
          <w:szCs w:val="24"/>
        </w:rPr>
        <w:t>Tabla 12</w:t>
      </w:r>
    </w:p>
    <w:p w14:paraId="14960255" w14:textId="77777777" w:rsidR="00632A6A" w:rsidRDefault="004553F6">
      <w:pPr>
        <w:pBdr>
          <w:top w:val="nil"/>
          <w:left w:val="nil"/>
          <w:bottom w:val="nil"/>
          <w:right w:val="nil"/>
          <w:between w:val="nil"/>
        </w:pBdr>
        <w:spacing w:line="360" w:lineRule="auto"/>
        <w:jc w:val="both"/>
        <w:rPr>
          <w:color w:val="000000"/>
          <w:sz w:val="24"/>
          <w:szCs w:val="24"/>
        </w:rPr>
      </w:pPr>
      <w:r>
        <w:rPr>
          <w:i/>
          <w:color w:val="000000"/>
          <w:sz w:val="24"/>
          <w:szCs w:val="24"/>
        </w:rPr>
        <w:t>Correlación entre el nivel de educación superior y recaudación tributaria</w:t>
      </w:r>
    </w:p>
    <w:tbl>
      <w:tblPr>
        <w:tblStyle w:val="aa"/>
        <w:tblW w:w="9356" w:type="dxa"/>
        <w:tblInd w:w="0" w:type="dxa"/>
        <w:tblLayout w:type="fixed"/>
        <w:tblLook w:val="0400" w:firstRow="0" w:lastRow="0" w:firstColumn="0" w:lastColumn="0" w:noHBand="0" w:noVBand="1"/>
      </w:tblPr>
      <w:tblGrid>
        <w:gridCol w:w="1985"/>
        <w:gridCol w:w="2126"/>
        <w:gridCol w:w="1843"/>
        <w:gridCol w:w="3402"/>
      </w:tblGrid>
      <w:tr w:rsidR="00632A6A" w14:paraId="54064F61" w14:textId="77777777">
        <w:trPr>
          <w:trHeight w:val="461"/>
        </w:trPr>
        <w:tc>
          <w:tcPr>
            <w:tcW w:w="1985" w:type="dxa"/>
            <w:tcBorders>
              <w:top w:val="single" w:sz="4" w:space="0" w:color="000000"/>
              <w:bottom w:val="single" w:sz="4" w:space="0" w:color="000000"/>
            </w:tcBorders>
            <w:shd w:val="clear" w:color="auto" w:fill="FFFFFF"/>
            <w:vAlign w:val="center"/>
          </w:tcPr>
          <w:p w14:paraId="59E42D47" w14:textId="77777777" w:rsidR="00632A6A" w:rsidRDefault="004553F6">
            <w:pPr>
              <w:spacing w:line="276" w:lineRule="auto"/>
              <w:jc w:val="center"/>
              <w:rPr>
                <w:sz w:val="24"/>
                <w:szCs w:val="24"/>
              </w:rPr>
            </w:pPr>
            <w:r>
              <w:rPr>
                <w:sz w:val="24"/>
                <w:szCs w:val="24"/>
              </w:rPr>
              <w:t>Grados de libertad</w:t>
            </w:r>
          </w:p>
        </w:tc>
        <w:tc>
          <w:tcPr>
            <w:tcW w:w="2126" w:type="dxa"/>
            <w:tcBorders>
              <w:top w:val="single" w:sz="4" w:space="0" w:color="000000"/>
              <w:bottom w:val="single" w:sz="4" w:space="0" w:color="000000"/>
            </w:tcBorders>
            <w:shd w:val="clear" w:color="auto" w:fill="FFFFFF"/>
            <w:vAlign w:val="center"/>
          </w:tcPr>
          <w:p w14:paraId="21A9D1B0" w14:textId="77777777" w:rsidR="00632A6A" w:rsidRDefault="004553F6">
            <w:pPr>
              <w:spacing w:line="276" w:lineRule="auto"/>
              <w:jc w:val="center"/>
              <w:rPr>
                <w:sz w:val="24"/>
                <w:szCs w:val="24"/>
              </w:rPr>
            </w:pPr>
            <w:r>
              <w:rPr>
                <w:sz w:val="24"/>
                <w:szCs w:val="24"/>
              </w:rPr>
              <w:t>t</w:t>
            </w:r>
          </w:p>
        </w:tc>
        <w:tc>
          <w:tcPr>
            <w:tcW w:w="1843" w:type="dxa"/>
            <w:tcBorders>
              <w:top w:val="single" w:sz="4" w:space="0" w:color="000000"/>
              <w:bottom w:val="single" w:sz="4" w:space="0" w:color="000000"/>
            </w:tcBorders>
            <w:shd w:val="clear" w:color="auto" w:fill="auto"/>
            <w:vAlign w:val="center"/>
          </w:tcPr>
          <w:p w14:paraId="0ADE1F10" w14:textId="77777777" w:rsidR="00632A6A" w:rsidRDefault="004553F6">
            <w:pPr>
              <w:spacing w:line="276" w:lineRule="auto"/>
              <w:jc w:val="center"/>
              <w:rPr>
                <w:sz w:val="24"/>
                <w:szCs w:val="24"/>
              </w:rPr>
            </w:pPr>
            <w:r>
              <w:rPr>
                <w:sz w:val="24"/>
                <w:szCs w:val="24"/>
              </w:rPr>
              <w:t>p-valor</w:t>
            </w:r>
          </w:p>
        </w:tc>
        <w:tc>
          <w:tcPr>
            <w:tcW w:w="3402" w:type="dxa"/>
            <w:tcBorders>
              <w:top w:val="single" w:sz="4" w:space="0" w:color="000000"/>
              <w:bottom w:val="single" w:sz="4" w:space="0" w:color="000000"/>
            </w:tcBorders>
            <w:vAlign w:val="center"/>
          </w:tcPr>
          <w:p w14:paraId="065A5F4A" w14:textId="77777777" w:rsidR="00632A6A" w:rsidRDefault="004553F6">
            <w:pPr>
              <w:spacing w:line="276" w:lineRule="auto"/>
              <w:jc w:val="center"/>
              <w:rPr>
                <w:sz w:val="24"/>
                <w:szCs w:val="24"/>
              </w:rPr>
            </w:pPr>
            <w:r>
              <w:rPr>
                <w:sz w:val="24"/>
                <w:szCs w:val="24"/>
              </w:rPr>
              <w:t>r</w:t>
            </w:r>
          </w:p>
        </w:tc>
      </w:tr>
      <w:tr w:rsidR="00632A6A" w14:paraId="5B5231A6" w14:textId="77777777">
        <w:trPr>
          <w:trHeight w:val="106"/>
        </w:trPr>
        <w:tc>
          <w:tcPr>
            <w:tcW w:w="1985" w:type="dxa"/>
            <w:tcBorders>
              <w:top w:val="single" w:sz="4" w:space="0" w:color="000000"/>
              <w:bottom w:val="single" w:sz="4" w:space="0" w:color="000000"/>
            </w:tcBorders>
            <w:shd w:val="clear" w:color="auto" w:fill="FFFFFF"/>
            <w:vAlign w:val="bottom"/>
          </w:tcPr>
          <w:p w14:paraId="1120309B" w14:textId="77777777" w:rsidR="00632A6A" w:rsidRDefault="004553F6">
            <w:pPr>
              <w:spacing w:line="276" w:lineRule="auto"/>
              <w:jc w:val="center"/>
              <w:rPr>
                <w:sz w:val="24"/>
                <w:szCs w:val="24"/>
              </w:rPr>
            </w:pPr>
            <w:r>
              <w:rPr>
                <w:sz w:val="24"/>
                <w:szCs w:val="24"/>
              </w:rPr>
              <w:t>6</w:t>
            </w:r>
          </w:p>
        </w:tc>
        <w:tc>
          <w:tcPr>
            <w:tcW w:w="2126" w:type="dxa"/>
            <w:tcBorders>
              <w:top w:val="single" w:sz="4" w:space="0" w:color="000000"/>
              <w:bottom w:val="single" w:sz="4" w:space="0" w:color="000000"/>
            </w:tcBorders>
            <w:shd w:val="clear" w:color="auto" w:fill="FFFFFF"/>
            <w:vAlign w:val="bottom"/>
          </w:tcPr>
          <w:p w14:paraId="1AF56129" w14:textId="77777777" w:rsidR="00632A6A" w:rsidRDefault="004553F6">
            <w:pPr>
              <w:spacing w:line="276" w:lineRule="auto"/>
              <w:jc w:val="center"/>
              <w:rPr>
                <w:sz w:val="24"/>
                <w:szCs w:val="24"/>
              </w:rPr>
            </w:pPr>
            <w:r>
              <w:rPr>
                <w:sz w:val="24"/>
                <w:szCs w:val="24"/>
              </w:rPr>
              <w:t>2.0089</w:t>
            </w:r>
          </w:p>
        </w:tc>
        <w:tc>
          <w:tcPr>
            <w:tcW w:w="1843" w:type="dxa"/>
            <w:tcBorders>
              <w:top w:val="single" w:sz="4" w:space="0" w:color="000000"/>
              <w:bottom w:val="single" w:sz="4" w:space="0" w:color="000000"/>
            </w:tcBorders>
            <w:shd w:val="clear" w:color="auto" w:fill="auto"/>
            <w:vAlign w:val="bottom"/>
          </w:tcPr>
          <w:p w14:paraId="529D13DF" w14:textId="77777777" w:rsidR="00632A6A" w:rsidRDefault="004553F6">
            <w:pPr>
              <w:spacing w:line="276" w:lineRule="auto"/>
              <w:jc w:val="center"/>
              <w:rPr>
                <w:sz w:val="24"/>
                <w:szCs w:val="24"/>
              </w:rPr>
            </w:pPr>
            <w:r>
              <w:rPr>
                <w:sz w:val="24"/>
                <w:szCs w:val="24"/>
              </w:rPr>
              <w:t>0.09129</w:t>
            </w:r>
          </w:p>
        </w:tc>
        <w:tc>
          <w:tcPr>
            <w:tcW w:w="3402" w:type="dxa"/>
            <w:tcBorders>
              <w:top w:val="single" w:sz="4" w:space="0" w:color="000000"/>
              <w:bottom w:val="single" w:sz="4" w:space="0" w:color="000000"/>
            </w:tcBorders>
            <w:vAlign w:val="center"/>
          </w:tcPr>
          <w:p w14:paraId="6F1031C4" w14:textId="77777777" w:rsidR="00632A6A" w:rsidRDefault="004553F6">
            <w:pPr>
              <w:spacing w:line="276" w:lineRule="auto"/>
              <w:jc w:val="center"/>
              <w:rPr>
                <w:sz w:val="24"/>
                <w:szCs w:val="24"/>
              </w:rPr>
            </w:pPr>
            <w:r>
              <w:rPr>
                <w:sz w:val="24"/>
                <w:szCs w:val="24"/>
              </w:rPr>
              <w:t>0.6341</w:t>
            </w:r>
          </w:p>
        </w:tc>
      </w:tr>
    </w:tbl>
    <w:p w14:paraId="7B479A79"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04FE06C0" w14:textId="77777777" w:rsidR="00632A6A" w:rsidRDefault="004553F6">
      <w:pPr>
        <w:pBdr>
          <w:top w:val="nil"/>
          <w:left w:val="nil"/>
          <w:bottom w:val="nil"/>
          <w:right w:val="nil"/>
          <w:between w:val="nil"/>
        </w:pBdr>
        <w:spacing w:line="360" w:lineRule="auto"/>
        <w:ind w:firstLine="357"/>
        <w:jc w:val="both"/>
        <w:rPr>
          <w:color w:val="000000"/>
          <w:sz w:val="24"/>
          <w:szCs w:val="24"/>
        </w:rPr>
      </w:pPr>
      <w:r>
        <w:rPr>
          <w:color w:val="000000"/>
          <w:sz w:val="24"/>
          <w:szCs w:val="24"/>
        </w:rPr>
        <w:t>En la figura 4 se observa que el número de personas con educación superior con título universitario se ha incrementado constantemente durante el periodo de estudio</w:t>
      </w:r>
      <w:r>
        <w:rPr>
          <w:color w:val="000000"/>
        </w:rPr>
        <w:t xml:space="preserve"> </w:t>
      </w:r>
      <w:r>
        <w:rPr>
          <w:color w:val="000000"/>
          <w:sz w:val="24"/>
          <w:szCs w:val="24"/>
        </w:rPr>
        <w:t>pasando de 44866 a 60515 entre el 2012 y 2019 en Lima Metropolitana. Confirmándose la hipótesis específica 2 en el sentido de que la educación superior de la población sí incide en forma significativa en la recaudación tributaria en el periodo 2012-2019.</w:t>
      </w:r>
    </w:p>
    <w:p w14:paraId="2055B1B8" w14:textId="77777777" w:rsidR="00632A6A" w:rsidRDefault="00632A6A">
      <w:pPr>
        <w:keepNext/>
        <w:spacing w:line="360" w:lineRule="auto"/>
        <w:rPr>
          <w:sz w:val="24"/>
          <w:szCs w:val="24"/>
        </w:rPr>
      </w:pPr>
    </w:p>
    <w:p w14:paraId="128F9BA4" w14:textId="77777777" w:rsidR="00632A6A" w:rsidRDefault="004553F6">
      <w:pPr>
        <w:keepNext/>
        <w:spacing w:line="360" w:lineRule="auto"/>
        <w:rPr>
          <w:i/>
          <w:sz w:val="24"/>
          <w:szCs w:val="24"/>
        </w:rPr>
      </w:pPr>
      <w:r>
        <w:rPr>
          <w:sz w:val="24"/>
          <w:szCs w:val="24"/>
        </w:rPr>
        <w:t>Figura 4</w:t>
      </w:r>
      <w:r>
        <w:rPr>
          <w:b/>
          <w:sz w:val="24"/>
          <w:szCs w:val="24"/>
        </w:rPr>
        <w:t xml:space="preserve"> </w:t>
      </w:r>
      <w:r>
        <w:rPr>
          <w:b/>
          <w:sz w:val="24"/>
          <w:szCs w:val="24"/>
        </w:rPr>
        <w:br/>
      </w:r>
      <w:r>
        <w:rPr>
          <w:i/>
          <w:sz w:val="24"/>
          <w:szCs w:val="24"/>
        </w:rPr>
        <w:t>Recaudación tributaria en Lima con respecto al nivel de educación superior, en millones de soles Periodo 2012-2019</w:t>
      </w:r>
    </w:p>
    <w:p w14:paraId="2A52941B" w14:textId="77777777" w:rsidR="00632A6A" w:rsidRDefault="004553F6">
      <w:pPr>
        <w:spacing w:line="360" w:lineRule="auto"/>
        <w:jc w:val="both"/>
        <w:rPr>
          <w:sz w:val="24"/>
          <w:szCs w:val="24"/>
        </w:rPr>
      </w:pPr>
      <w:r>
        <w:rPr>
          <w:noProof/>
          <w:sz w:val="24"/>
          <w:szCs w:val="24"/>
          <w:lang w:val="en-US" w:eastAsia="en-US"/>
        </w:rPr>
        <w:drawing>
          <wp:inline distT="0" distB="0" distL="0" distR="0" wp14:anchorId="0B33AE97" wp14:editId="58BD987E">
            <wp:extent cx="5903366" cy="2582266"/>
            <wp:effectExtent l="0" t="0" r="2540" b="889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08AC1F" w14:textId="77777777" w:rsidR="00632A6A" w:rsidRDefault="004553F6">
      <w:pPr>
        <w:spacing w:line="360" w:lineRule="auto"/>
        <w:jc w:val="both"/>
        <w:rPr>
          <w:color w:val="000000"/>
        </w:rPr>
      </w:pPr>
      <w:r>
        <w:rPr>
          <w:color w:val="000000"/>
        </w:rPr>
        <w:t>Fuente: Adaptado de INEI (2019)</w:t>
      </w:r>
    </w:p>
    <w:p w14:paraId="10BFF2B6" w14:textId="77777777" w:rsidR="00632A6A" w:rsidRDefault="00632A6A">
      <w:pPr>
        <w:pBdr>
          <w:top w:val="nil"/>
          <w:left w:val="nil"/>
          <w:bottom w:val="nil"/>
          <w:right w:val="nil"/>
          <w:between w:val="nil"/>
        </w:pBdr>
        <w:spacing w:line="360" w:lineRule="auto"/>
        <w:ind w:firstLine="357"/>
        <w:jc w:val="both"/>
        <w:rPr>
          <w:color w:val="000000"/>
          <w:sz w:val="24"/>
          <w:szCs w:val="24"/>
        </w:rPr>
      </w:pPr>
    </w:p>
    <w:p w14:paraId="2ECEF49A" w14:textId="77777777" w:rsidR="00632A6A" w:rsidRDefault="004553F6">
      <w:pPr>
        <w:numPr>
          <w:ilvl w:val="0"/>
          <w:numId w:val="1"/>
        </w:numPr>
        <w:pBdr>
          <w:top w:val="nil"/>
          <w:left w:val="nil"/>
          <w:bottom w:val="nil"/>
          <w:right w:val="nil"/>
          <w:between w:val="nil"/>
        </w:pBdr>
        <w:spacing w:before="240" w:line="360" w:lineRule="auto"/>
        <w:jc w:val="both"/>
        <w:rPr>
          <w:color w:val="000000"/>
          <w:sz w:val="24"/>
          <w:szCs w:val="24"/>
        </w:rPr>
      </w:pPr>
      <w:r>
        <w:rPr>
          <w:b/>
          <w:color w:val="000000"/>
          <w:sz w:val="24"/>
          <w:szCs w:val="24"/>
        </w:rPr>
        <w:t>Discusión</w:t>
      </w:r>
    </w:p>
    <w:p w14:paraId="548A9288"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63245C65" w14:textId="77777777" w:rsidR="00632A6A" w:rsidRDefault="004553F6">
      <w:pPr>
        <w:pBdr>
          <w:top w:val="nil"/>
          <w:left w:val="nil"/>
          <w:bottom w:val="nil"/>
          <w:right w:val="nil"/>
          <w:between w:val="nil"/>
        </w:pBdr>
        <w:spacing w:line="360" w:lineRule="auto"/>
        <w:ind w:firstLine="360"/>
        <w:jc w:val="both"/>
        <w:rPr>
          <w:color w:val="000000"/>
          <w:sz w:val="24"/>
          <w:szCs w:val="24"/>
        </w:rPr>
      </w:pPr>
      <w:bookmarkStart w:id="4" w:name="_3znysh7" w:colFirst="0" w:colLast="0"/>
      <w:bookmarkEnd w:id="4"/>
      <w:r>
        <w:rPr>
          <w:color w:val="000000"/>
          <w:sz w:val="24"/>
          <w:szCs w:val="24"/>
        </w:rPr>
        <w:t xml:space="preserve">Evidentemente los resultados muestran que existe una relación positiva y significativa entre el crecimiento de MYPES con la recaudación tributaria en Lima. El estudio muestra que la intensidad </w:t>
      </w:r>
      <w:r>
        <w:rPr>
          <w:color w:val="000000"/>
          <w:sz w:val="24"/>
          <w:szCs w:val="24"/>
        </w:rPr>
        <w:lastRenderedPageBreak/>
        <w:t xml:space="preserve">de la relación hallada es próxima a 1 (r = 0.93), lo que evidencia que existe una concordancia entre el resultado general de la investigación y los resultados de las dimensiones. </w:t>
      </w:r>
    </w:p>
    <w:p w14:paraId="04F98B9A"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746D3E8D" w14:textId="77777777" w:rsidR="00632A6A" w:rsidRDefault="004553F6">
      <w:pPr>
        <w:pBdr>
          <w:top w:val="nil"/>
          <w:left w:val="nil"/>
          <w:bottom w:val="nil"/>
          <w:right w:val="nil"/>
          <w:between w:val="nil"/>
        </w:pBdr>
        <w:spacing w:line="360" w:lineRule="auto"/>
        <w:ind w:firstLine="360"/>
        <w:jc w:val="both"/>
        <w:rPr>
          <w:color w:val="000000"/>
          <w:sz w:val="24"/>
          <w:szCs w:val="24"/>
        </w:rPr>
      </w:pPr>
      <w:bookmarkStart w:id="5" w:name="_2et92p0" w:colFirst="0" w:colLast="0"/>
      <w:bookmarkEnd w:id="5"/>
      <w:r>
        <w:rPr>
          <w:color w:val="000000"/>
          <w:sz w:val="24"/>
          <w:szCs w:val="24"/>
        </w:rPr>
        <w:t>En la primera hipótesis específica, se comprobó que existe relación negativa (r = -0.69) entre la recaudación tributaria y el crecimiento de las MYPES informales, lo cual concuerda con lo que mencionan Delgado y Mendieta (2015) quienes encontraron que, una menor recaudación tributaria está asociada a la informalidad de las MYPES, es decir aquellas que se encuentren tramitando su formalización o simplemente no tengan dicha documentación. Los mismos autores comentan que aquellas MYPES que pasen de lo informal a lo formal, obtendrán beneficios en su desarrollo, crecimiento y permanencia en el tiempo. Cabe resaltar que una de las causas principales que determinan el crecimiento de MYPES informales, es que estas consideran que obtener una licencia municipal, inscribirse en registro públicos, pagar impuestos, contratar trabajadores en planilla, entre otros, les representa un costo demasiado alto (Chaquila y Flores, 2021). Según otra investigación, un gran porcentaje de los encuestados (44.7%) consideran que la formalidad no les genera ningún beneficio; frente a ello es importante que el estado tome medidas para informar a la población acerca de las consecuencias de evadir impuestos al estado (Cubas, 2017).</w:t>
      </w:r>
    </w:p>
    <w:p w14:paraId="1E059C7D"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5851253A" w14:textId="77777777" w:rsidR="00632A6A" w:rsidRDefault="004553F6">
      <w:pPr>
        <w:pBdr>
          <w:top w:val="nil"/>
          <w:left w:val="nil"/>
          <w:bottom w:val="nil"/>
          <w:right w:val="nil"/>
          <w:between w:val="nil"/>
        </w:pBdr>
        <w:spacing w:line="360" w:lineRule="auto"/>
        <w:ind w:firstLine="360"/>
        <w:jc w:val="both"/>
        <w:rPr>
          <w:color w:val="000000"/>
          <w:sz w:val="24"/>
          <w:szCs w:val="24"/>
        </w:rPr>
      </w:pPr>
      <w:bookmarkStart w:id="6" w:name="_tyjcwt" w:colFirst="0" w:colLast="0"/>
      <w:bookmarkEnd w:id="6"/>
      <w:r>
        <w:rPr>
          <w:color w:val="000000"/>
          <w:sz w:val="24"/>
          <w:szCs w:val="24"/>
        </w:rPr>
        <w:t>En la segunda hipótesis específica, se comprobó que existe relación positiva (r = 0.63) entre la recaudación tributaria y el nivel de educación superior, lo cual concuerda con la investigación de Alava y Valderrama (2020) cuando mencionan que, a menor nivel de educación, mayor es la tasa de informalidad en las MYPES y por ende hay menor recaudación tributaria. Similares resultados presentaron Aguilar y Nuñez (2021), quienes encontraron que existe correlación positiva y fuerte entre la cultura tributaria y la recaudación de impuestos, considerando que una buena cultura tributaria se ve mayormente en personas de mayor nivel de educación. Esto lo confirman Hidalgo y Areche (2022) quienes también observaron que existe una relación positiva entre los años de educación y la recaudación tributaria.</w:t>
      </w:r>
    </w:p>
    <w:p w14:paraId="3C0DF64A"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7EAE5503" w14:textId="77777777" w:rsidR="00632A6A" w:rsidRDefault="004553F6">
      <w:pPr>
        <w:pBdr>
          <w:top w:val="nil"/>
          <w:left w:val="nil"/>
          <w:bottom w:val="nil"/>
          <w:right w:val="nil"/>
          <w:between w:val="nil"/>
        </w:pBdr>
        <w:spacing w:line="360" w:lineRule="auto"/>
        <w:ind w:firstLine="360"/>
        <w:jc w:val="both"/>
        <w:rPr>
          <w:color w:val="000000"/>
          <w:sz w:val="24"/>
          <w:szCs w:val="24"/>
        </w:rPr>
      </w:pPr>
      <w:r>
        <w:rPr>
          <w:color w:val="000000"/>
          <w:sz w:val="24"/>
          <w:szCs w:val="24"/>
        </w:rPr>
        <w:t xml:space="preserve">En general, los resultados de la investigación coinciden con Armas M, (2009) en el sentido de que la conciencia tributaria es un factor determinante para prever los niveles de recaudación tributaria en nuestro país. Además, abre espacios para que las instancias pertinentes que administran los tributos tomen las medidas pertinentes. Asimismo, los presentes resultados están </w:t>
      </w:r>
      <w:r>
        <w:rPr>
          <w:color w:val="000000"/>
          <w:sz w:val="24"/>
          <w:szCs w:val="24"/>
        </w:rPr>
        <w:lastRenderedPageBreak/>
        <w:t xml:space="preserve">en concordancia con los resultados de la CEPAL debido a que las grandes reformas del Estado tienen que partir del resultado de estudio de base que deben partir de las universidades o centros de enseñanza superior. A su vez, la aplicación de esta medida servirá de motivación a muchas MYPES a formalizarse debido a que sus clientes le solicitarán comprobantes de pago, ayudará en la mejora de la recaudación fiscal y reducirá la pobreza. </w:t>
      </w:r>
    </w:p>
    <w:p w14:paraId="01005605"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04F0B019" w14:textId="77777777" w:rsidR="00632A6A" w:rsidRDefault="004553F6">
      <w:pPr>
        <w:numPr>
          <w:ilvl w:val="0"/>
          <w:numId w:val="1"/>
        </w:numPr>
        <w:pBdr>
          <w:top w:val="nil"/>
          <w:left w:val="nil"/>
          <w:bottom w:val="nil"/>
          <w:right w:val="nil"/>
          <w:between w:val="nil"/>
        </w:pBdr>
        <w:spacing w:before="240" w:line="360" w:lineRule="auto"/>
        <w:jc w:val="both"/>
        <w:rPr>
          <w:color w:val="000000"/>
          <w:sz w:val="24"/>
          <w:szCs w:val="24"/>
        </w:rPr>
      </w:pPr>
      <w:r>
        <w:rPr>
          <w:b/>
          <w:color w:val="000000"/>
          <w:sz w:val="24"/>
          <w:szCs w:val="24"/>
        </w:rPr>
        <w:t>Conclusión</w:t>
      </w:r>
    </w:p>
    <w:p w14:paraId="20A05DFE"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20139D5C" w14:textId="269B4A7B" w:rsidR="008E154F" w:rsidRPr="005B7EA5" w:rsidRDefault="009670E4">
      <w:pPr>
        <w:pBdr>
          <w:top w:val="nil"/>
          <w:left w:val="nil"/>
          <w:bottom w:val="nil"/>
          <w:right w:val="nil"/>
          <w:between w:val="nil"/>
        </w:pBdr>
        <w:spacing w:line="360" w:lineRule="auto"/>
        <w:ind w:firstLine="360"/>
        <w:jc w:val="both"/>
        <w:rPr>
          <w:color w:val="000000"/>
          <w:sz w:val="24"/>
          <w:szCs w:val="24"/>
        </w:rPr>
      </w:pPr>
      <w:r w:rsidRPr="005B7EA5">
        <w:rPr>
          <w:color w:val="000000"/>
          <w:sz w:val="24"/>
          <w:szCs w:val="24"/>
        </w:rPr>
        <w:t xml:space="preserve">Según el objetivo general, se ha determinado que el crecimiento de MYPES tiene relación significativa y positiva </w:t>
      </w:r>
      <w:r w:rsidR="00FF2A2D" w:rsidRPr="005B7EA5">
        <w:rPr>
          <w:color w:val="000000"/>
          <w:sz w:val="24"/>
          <w:szCs w:val="24"/>
        </w:rPr>
        <w:t xml:space="preserve">con </w:t>
      </w:r>
      <w:r w:rsidRPr="005B7EA5">
        <w:rPr>
          <w:color w:val="000000"/>
          <w:sz w:val="24"/>
          <w:szCs w:val="24"/>
        </w:rPr>
        <w:t>la recaudación tributaria en Lima Metropolitana en el periodo 2012-2019, con un coeficiente de correlación de Pearson de r = 0.93</w:t>
      </w:r>
      <w:r w:rsidR="00933AE2" w:rsidRPr="005B7EA5">
        <w:rPr>
          <w:color w:val="000000"/>
          <w:sz w:val="24"/>
          <w:szCs w:val="24"/>
        </w:rPr>
        <w:t xml:space="preserve">, de lo cual se concluye que </w:t>
      </w:r>
      <w:r w:rsidR="008E154F">
        <w:rPr>
          <w:color w:val="000000"/>
          <w:sz w:val="24"/>
          <w:szCs w:val="24"/>
        </w:rPr>
        <w:t xml:space="preserve">el crecimiento del número de MYPES </w:t>
      </w:r>
      <w:r w:rsidR="00A253CF">
        <w:rPr>
          <w:color w:val="000000"/>
          <w:sz w:val="24"/>
          <w:szCs w:val="24"/>
        </w:rPr>
        <w:t xml:space="preserve">en general </w:t>
      </w:r>
      <w:r w:rsidR="008E154F">
        <w:rPr>
          <w:color w:val="000000"/>
          <w:sz w:val="24"/>
          <w:szCs w:val="24"/>
        </w:rPr>
        <w:t xml:space="preserve">tiene un impacto en la recaudación tributaria para la ciudad de Lima. </w:t>
      </w:r>
      <w:r w:rsidR="004553F6">
        <w:rPr>
          <w:color w:val="000000"/>
          <w:sz w:val="24"/>
          <w:szCs w:val="24"/>
        </w:rPr>
        <w:t xml:space="preserve">Así mismo, según la ecuación que relaciona ambas variables, cuando aumenta en una unidad las MYPE la recaudación tributaria aumenta en 0.76. </w:t>
      </w:r>
    </w:p>
    <w:p w14:paraId="6B2854F6" w14:textId="77777777" w:rsidR="00632A6A" w:rsidRPr="005B7EA5" w:rsidRDefault="00632A6A">
      <w:pPr>
        <w:pBdr>
          <w:top w:val="nil"/>
          <w:left w:val="nil"/>
          <w:bottom w:val="nil"/>
          <w:right w:val="nil"/>
          <w:between w:val="nil"/>
        </w:pBdr>
        <w:spacing w:line="360" w:lineRule="auto"/>
        <w:ind w:firstLine="360"/>
        <w:jc w:val="both"/>
        <w:rPr>
          <w:color w:val="000000"/>
          <w:sz w:val="24"/>
          <w:szCs w:val="24"/>
        </w:rPr>
      </w:pPr>
    </w:p>
    <w:p w14:paraId="28D4B89C" w14:textId="51589279" w:rsidR="009670E4" w:rsidRPr="005B7EA5" w:rsidRDefault="009670E4" w:rsidP="004553F6">
      <w:pPr>
        <w:pBdr>
          <w:top w:val="nil"/>
          <w:left w:val="nil"/>
          <w:bottom w:val="nil"/>
          <w:right w:val="nil"/>
          <w:between w:val="nil"/>
        </w:pBdr>
        <w:spacing w:line="360" w:lineRule="auto"/>
        <w:ind w:firstLine="360"/>
        <w:jc w:val="both"/>
        <w:rPr>
          <w:color w:val="000000"/>
          <w:sz w:val="24"/>
          <w:szCs w:val="24"/>
        </w:rPr>
      </w:pPr>
      <w:r w:rsidRPr="005B7EA5">
        <w:rPr>
          <w:color w:val="000000"/>
          <w:sz w:val="24"/>
          <w:szCs w:val="24"/>
        </w:rPr>
        <w:t>Según el primer objetivo específico, se ha determinado que el crecimiento informal de las MYPES tiene relación significativa y negativa con la recaudación tributaria (r = -0.69)</w:t>
      </w:r>
      <w:r w:rsidR="007D169C" w:rsidRPr="005B7EA5">
        <w:rPr>
          <w:color w:val="000000"/>
          <w:sz w:val="24"/>
          <w:szCs w:val="24"/>
        </w:rPr>
        <w:t xml:space="preserve">, </w:t>
      </w:r>
      <w:r w:rsidR="00933AE2" w:rsidRPr="005B7EA5">
        <w:rPr>
          <w:color w:val="000000"/>
          <w:sz w:val="24"/>
          <w:szCs w:val="24"/>
        </w:rPr>
        <w:t xml:space="preserve">de </w:t>
      </w:r>
      <w:r w:rsidR="007D169C" w:rsidRPr="005B7EA5">
        <w:rPr>
          <w:color w:val="000000"/>
          <w:sz w:val="24"/>
          <w:szCs w:val="24"/>
        </w:rPr>
        <w:t xml:space="preserve">lo cual </w:t>
      </w:r>
      <w:r w:rsidR="00933AE2" w:rsidRPr="005B7EA5">
        <w:rPr>
          <w:color w:val="000000"/>
          <w:sz w:val="24"/>
          <w:szCs w:val="24"/>
        </w:rPr>
        <w:t xml:space="preserve">se concluye </w:t>
      </w:r>
      <w:r w:rsidR="007D169C" w:rsidRPr="005B7EA5">
        <w:rPr>
          <w:color w:val="000000"/>
          <w:sz w:val="24"/>
          <w:szCs w:val="24"/>
        </w:rPr>
        <w:t>que</w:t>
      </w:r>
      <w:r w:rsidR="00A253CF">
        <w:rPr>
          <w:color w:val="000000"/>
          <w:sz w:val="24"/>
          <w:szCs w:val="24"/>
        </w:rPr>
        <w:t xml:space="preserve">, </w:t>
      </w:r>
      <w:r w:rsidR="007D169C" w:rsidRPr="005B7EA5">
        <w:rPr>
          <w:color w:val="000000"/>
          <w:sz w:val="24"/>
          <w:szCs w:val="24"/>
        </w:rPr>
        <w:t>la baja recaudació</w:t>
      </w:r>
      <w:r w:rsidR="00A253CF">
        <w:rPr>
          <w:color w:val="000000"/>
          <w:sz w:val="24"/>
          <w:szCs w:val="24"/>
        </w:rPr>
        <w:t>n tributaria en Lima responde a</w:t>
      </w:r>
      <w:r w:rsidR="000C1D27" w:rsidRPr="005B7EA5">
        <w:rPr>
          <w:color w:val="000000"/>
          <w:sz w:val="24"/>
          <w:szCs w:val="24"/>
        </w:rPr>
        <w:t>l crecimiento de una</w:t>
      </w:r>
      <w:r w:rsidR="007D169C" w:rsidRPr="005B7EA5">
        <w:rPr>
          <w:color w:val="000000"/>
          <w:sz w:val="24"/>
          <w:szCs w:val="24"/>
        </w:rPr>
        <w:t xml:space="preserve"> economía muy</w:t>
      </w:r>
      <w:r w:rsidR="00E73EFA" w:rsidRPr="005B7EA5">
        <w:rPr>
          <w:color w:val="000000"/>
          <w:sz w:val="24"/>
          <w:szCs w:val="24"/>
        </w:rPr>
        <w:t xml:space="preserve"> informa</w:t>
      </w:r>
      <w:r w:rsidR="007D5246" w:rsidRPr="005B7EA5">
        <w:rPr>
          <w:color w:val="000000"/>
          <w:sz w:val="24"/>
          <w:szCs w:val="24"/>
        </w:rPr>
        <w:t>l</w:t>
      </w:r>
      <w:r w:rsidR="0095170F" w:rsidRPr="005B7EA5">
        <w:rPr>
          <w:color w:val="000000"/>
          <w:sz w:val="24"/>
          <w:szCs w:val="24"/>
        </w:rPr>
        <w:t xml:space="preserve"> </w:t>
      </w:r>
      <w:r w:rsidR="000C1D27" w:rsidRPr="005B7EA5">
        <w:rPr>
          <w:color w:val="000000"/>
          <w:sz w:val="24"/>
          <w:szCs w:val="24"/>
        </w:rPr>
        <w:t>con</w:t>
      </w:r>
      <w:r w:rsidR="0095170F" w:rsidRPr="005B7EA5">
        <w:rPr>
          <w:color w:val="000000"/>
          <w:sz w:val="24"/>
          <w:szCs w:val="24"/>
        </w:rPr>
        <w:t xml:space="preserve"> niveles de evasión extremadamente altos</w:t>
      </w:r>
      <w:r w:rsidR="007D5246" w:rsidRPr="005B7EA5">
        <w:rPr>
          <w:color w:val="000000"/>
          <w:sz w:val="24"/>
          <w:szCs w:val="24"/>
        </w:rPr>
        <w:t xml:space="preserve"> y segmentos</w:t>
      </w:r>
      <w:r w:rsidR="0095170F" w:rsidRPr="005B7EA5">
        <w:rPr>
          <w:color w:val="000000"/>
          <w:sz w:val="24"/>
          <w:szCs w:val="24"/>
        </w:rPr>
        <w:t xml:space="preserve"> de personas naturales y empresarios independientes que no pagan impuestos.</w:t>
      </w:r>
      <w:r w:rsidR="004553F6" w:rsidRPr="004553F6">
        <w:rPr>
          <w:color w:val="000000"/>
          <w:sz w:val="24"/>
          <w:szCs w:val="24"/>
        </w:rPr>
        <w:t xml:space="preserve"> </w:t>
      </w:r>
      <w:r w:rsidR="004553F6">
        <w:rPr>
          <w:color w:val="000000"/>
          <w:sz w:val="24"/>
          <w:szCs w:val="24"/>
        </w:rPr>
        <w:t>Así mismo, según la ecuación que relaciona ambas variables, cuando aumenta en una unidad las MYPE informales la recaudac</w:t>
      </w:r>
      <w:r w:rsidR="00B0647E">
        <w:rPr>
          <w:color w:val="000000"/>
          <w:sz w:val="24"/>
          <w:szCs w:val="24"/>
        </w:rPr>
        <w:t>ión tributaria disminuye en -0.61</w:t>
      </w:r>
      <w:r w:rsidR="004553F6">
        <w:rPr>
          <w:color w:val="000000"/>
          <w:sz w:val="24"/>
          <w:szCs w:val="24"/>
        </w:rPr>
        <w:t>.</w:t>
      </w:r>
    </w:p>
    <w:p w14:paraId="30A50BFA" w14:textId="77777777" w:rsidR="007D169C" w:rsidRPr="005B7EA5" w:rsidRDefault="007D169C">
      <w:pPr>
        <w:pBdr>
          <w:top w:val="nil"/>
          <w:left w:val="nil"/>
          <w:bottom w:val="nil"/>
          <w:right w:val="nil"/>
          <w:between w:val="nil"/>
        </w:pBdr>
        <w:spacing w:line="360" w:lineRule="auto"/>
        <w:ind w:firstLine="360"/>
        <w:jc w:val="both"/>
        <w:rPr>
          <w:color w:val="000000"/>
          <w:sz w:val="24"/>
          <w:szCs w:val="24"/>
        </w:rPr>
      </w:pPr>
    </w:p>
    <w:p w14:paraId="0D512310" w14:textId="61A6D570" w:rsidR="00DD10AC" w:rsidRPr="005B7EA5" w:rsidRDefault="009670E4" w:rsidP="00DD10AC">
      <w:pPr>
        <w:pBdr>
          <w:top w:val="nil"/>
          <w:left w:val="nil"/>
          <w:bottom w:val="nil"/>
          <w:right w:val="nil"/>
          <w:between w:val="nil"/>
        </w:pBdr>
        <w:spacing w:line="360" w:lineRule="auto"/>
        <w:ind w:firstLine="360"/>
        <w:jc w:val="both"/>
        <w:rPr>
          <w:color w:val="000000"/>
          <w:sz w:val="24"/>
          <w:szCs w:val="24"/>
        </w:rPr>
      </w:pPr>
      <w:r w:rsidRPr="005B7EA5">
        <w:rPr>
          <w:color w:val="000000"/>
          <w:sz w:val="24"/>
          <w:szCs w:val="24"/>
        </w:rPr>
        <w:t xml:space="preserve">Según el segundo objetivo específico, se ha determinado que el nivel de educación superior </w:t>
      </w:r>
      <w:r w:rsidR="00A253CF">
        <w:rPr>
          <w:color w:val="000000"/>
          <w:sz w:val="24"/>
          <w:szCs w:val="24"/>
        </w:rPr>
        <w:t>se relaciona de</w:t>
      </w:r>
      <w:bookmarkStart w:id="7" w:name="_GoBack"/>
      <w:bookmarkEnd w:id="7"/>
      <w:r w:rsidRPr="005B7EA5">
        <w:rPr>
          <w:color w:val="000000"/>
          <w:sz w:val="24"/>
          <w:szCs w:val="24"/>
        </w:rPr>
        <w:t xml:space="preserve"> forma positiva en la recaudación tributaria (r = 0.63)</w:t>
      </w:r>
      <w:r w:rsidR="007D5246" w:rsidRPr="005B7EA5">
        <w:rPr>
          <w:color w:val="000000"/>
          <w:sz w:val="24"/>
          <w:szCs w:val="24"/>
        </w:rPr>
        <w:t>, de lo cual se concluye que la educación universitaria es un medio a través del cual se generan cambios en el accionar de la persona</w:t>
      </w:r>
      <w:r w:rsidR="005B7EA5" w:rsidRPr="005B7EA5">
        <w:rPr>
          <w:color w:val="000000"/>
          <w:sz w:val="24"/>
          <w:szCs w:val="24"/>
        </w:rPr>
        <w:t>, desempeñando un papel esencial en la ens</w:t>
      </w:r>
      <w:r w:rsidR="00A253CF">
        <w:rPr>
          <w:color w:val="000000"/>
          <w:sz w:val="24"/>
          <w:szCs w:val="24"/>
        </w:rPr>
        <w:t>eñanza de la cultura tributaria, mejorando la recaudación de tributos.</w:t>
      </w:r>
      <w:r w:rsidR="00DD10AC" w:rsidRPr="00DD10AC">
        <w:rPr>
          <w:color w:val="000000"/>
          <w:sz w:val="24"/>
          <w:szCs w:val="24"/>
        </w:rPr>
        <w:t xml:space="preserve"> </w:t>
      </w:r>
      <w:r w:rsidR="00DD10AC">
        <w:rPr>
          <w:color w:val="000000"/>
          <w:sz w:val="24"/>
          <w:szCs w:val="24"/>
        </w:rPr>
        <w:t xml:space="preserve">Así mismo, según la ecuación que relaciona ambas variables, cuando aumenta en una unidad </w:t>
      </w:r>
      <w:r w:rsidR="00DD10AC">
        <w:rPr>
          <w:color w:val="000000"/>
          <w:sz w:val="24"/>
          <w:szCs w:val="24"/>
        </w:rPr>
        <w:t>la población con educación superior</w:t>
      </w:r>
      <w:r w:rsidR="00DD10AC">
        <w:rPr>
          <w:color w:val="000000"/>
          <w:sz w:val="24"/>
          <w:szCs w:val="24"/>
        </w:rPr>
        <w:t xml:space="preserve"> la recaudación tributaria </w:t>
      </w:r>
      <w:r w:rsidR="00DD10AC">
        <w:rPr>
          <w:color w:val="000000"/>
          <w:sz w:val="24"/>
          <w:szCs w:val="24"/>
        </w:rPr>
        <w:t>aumenta en 0.76.</w:t>
      </w:r>
    </w:p>
    <w:p w14:paraId="0550519D" w14:textId="18365E1A" w:rsidR="00632A6A" w:rsidRPr="005B7EA5" w:rsidRDefault="00632A6A">
      <w:pPr>
        <w:pBdr>
          <w:top w:val="nil"/>
          <w:left w:val="nil"/>
          <w:bottom w:val="nil"/>
          <w:right w:val="nil"/>
          <w:between w:val="nil"/>
        </w:pBdr>
        <w:spacing w:line="360" w:lineRule="auto"/>
        <w:ind w:firstLine="360"/>
        <w:jc w:val="both"/>
        <w:rPr>
          <w:color w:val="000000"/>
          <w:sz w:val="24"/>
          <w:szCs w:val="24"/>
        </w:rPr>
      </w:pPr>
    </w:p>
    <w:p w14:paraId="7557AB67" w14:textId="77777777" w:rsidR="00632A6A" w:rsidRPr="005B7EA5" w:rsidRDefault="00632A6A">
      <w:pPr>
        <w:pBdr>
          <w:top w:val="nil"/>
          <w:left w:val="nil"/>
          <w:bottom w:val="nil"/>
          <w:right w:val="nil"/>
          <w:between w:val="nil"/>
        </w:pBdr>
        <w:spacing w:line="360" w:lineRule="auto"/>
        <w:ind w:firstLine="360"/>
        <w:jc w:val="both"/>
        <w:rPr>
          <w:color w:val="000000"/>
          <w:sz w:val="24"/>
          <w:szCs w:val="24"/>
        </w:rPr>
      </w:pPr>
    </w:p>
    <w:p w14:paraId="7C40E371" w14:textId="77777777" w:rsidR="00632A6A" w:rsidRDefault="004553F6">
      <w:pPr>
        <w:pBdr>
          <w:top w:val="nil"/>
          <w:left w:val="nil"/>
          <w:bottom w:val="nil"/>
          <w:right w:val="nil"/>
          <w:between w:val="nil"/>
        </w:pBdr>
        <w:spacing w:before="240" w:line="360" w:lineRule="auto"/>
        <w:ind w:firstLine="360"/>
        <w:jc w:val="both"/>
        <w:rPr>
          <w:b/>
          <w:color w:val="000000"/>
          <w:sz w:val="24"/>
          <w:szCs w:val="24"/>
        </w:rPr>
      </w:pPr>
      <w:r>
        <w:rPr>
          <w:b/>
          <w:color w:val="000000"/>
          <w:sz w:val="24"/>
          <w:szCs w:val="24"/>
        </w:rPr>
        <w:t>Referencias bibliográficas</w:t>
      </w:r>
    </w:p>
    <w:p w14:paraId="6062589D" w14:textId="77777777" w:rsidR="00632A6A" w:rsidRDefault="00632A6A">
      <w:pPr>
        <w:pBdr>
          <w:top w:val="nil"/>
          <w:left w:val="nil"/>
          <w:bottom w:val="nil"/>
          <w:right w:val="nil"/>
          <w:between w:val="nil"/>
        </w:pBdr>
        <w:spacing w:line="360" w:lineRule="auto"/>
        <w:ind w:firstLine="360"/>
        <w:jc w:val="both"/>
        <w:rPr>
          <w:color w:val="222222"/>
          <w:sz w:val="24"/>
          <w:szCs w:val="24"/>
          <w:highlight w:val="white"/>
        </w:rPr>
      </w:pPr>
    </w:p>
    <w:p w14:paraId="37EE74E6" w14:textId="77777777" w:rsidR="00632A6A" w:rsidRDefault="004553F6">
      <w:pPr>
        <w:pBdr>
          <w:top w:val="nil"/>
          <w:left w:val="nil"/>
          <w:bottom w:val="nil"/>
          <w:right w:val="nil"/>
          <w:between w:val="nil"/>
        </w:pBdr>
        <w:spacing w:line="360" w:lineRule="auto"/>
        <w:ind w:left="709" w:hanging="709"/>
        <w:jc w:val="both"/>
        <w:rPr>
          <w:color w:val="222222"/>
          <w:sz w:val="24"/>
          <w:szCs w:val="24"/>
          <w:highlight w:val="white"/>
        </w:rPr>
      </w:pPr>
      <w:r>
        <w:rPr>
          <w:color w:val="222222"/>
          <w:sz w:val="24"/>
          <w:szCs w:val="24"/>
          <w:highlight w:val="white"/>
        </w:rPr>
        <w:t>Aguilar Mego, R. Y., &amp; Núñez Irigoin, G. D. R. (2022). Cultura tributaria y su relación con la recaudación del impuesto predial en la municipalidad provincial de Chota, 2021. https://repositorio.unach.edu.pe/bitstream/handle/20.500.14142/228/3%20TESIS%20FINAL_GREICI%20Y%20ROXANA_CONTABILIDAD_UNACH.pdf?sequence=1&amp;isAllowed=y</w:t>
      </w:r>
    </w:p>
    <w:p w14:paraId="52076AAE" w14:textId="77777777" w:rsidR="00632A6A" w:rsidRDefault="00632A6A">
      <w:pPr>
        <w:pBdr>
          <w:top w:val="nil"/>
          <w:left w:val="nil"/>
          <w:bottom w:val="nil"/>
          <w:right w:val="nil"/>
          <w:between w:val="nil"/>
        </w:pBdr>
        <w:spacing w:line="360" w:lineRule="auto"/>
        <w:ind w:firstLine="360"/>
        <w:jc w:val="both"/>
        <w:rPr>
          <w:color w:val="222222"/>
          <w:sz w:val="24"/>
          <w:szCs w:val="24"/>
          <w:highlight w:val="white"/>
        </w:rPr>
      </w:pPr>
    </w:p>
    <w:p w14:paraId="019467DC" w14:textId="77777777" w:rsidR="00632A6A" w:rsidRDefault="004553F6">
      <w:pPr>
        <w:pBdr>
          <w:top w:val="nil"/>
          <w:left w:val="nil"/>
          <w:bottom w:val="nil"/>
          <w:right w:val="nil"/>
          <w:between w:val="nil"/>
        </w:pBdr>
        <w:spacing w:line="360" w:lineRule="auto"/>
        <w:ind w:left="709" w:hanging="709"/>
        <w:jc w:val="both"/>
        <w:rPr>
          <w:color w:val="222222"/>
          <w:sz w:val="24"/>
          <w:szCs w:val="24"/>
          <w:highlight w:val="white"/>
        </w:rPr>
      </w:pPr>
      <w:r>
        <w:rPr>
          <w:color w:val="222222"/>
          <w:sz w:val="24"/>
          <w:szCs w:val="24"/>
          <w:highlight w:val="white"/>
        </w:rPr>
        <w:t xml:space="preserve">Alava Rosero, A., &amp; Valderrama Barragán, G. (2020). La informalidad y su relación con la recaudación tributaria. Estudios en el contexto de Ecuador. </w:t>
      </w:r>
      <w:hyperlink r:id="rId9">
        <w:r>
          <w:rPr>
            <w:color w:val="000000"/>
            <w:sz w:val="24"/>
            <w:szCs w:val="24"/>
            <w:highlight w:val="white"/>
          </w:rPr>
          <w:t>https://revistas.uclave.org/index.php/dissertare/article/view/2793/1750</w:t>
        </w:r>
      </w:hyperlink>
      <w:r>
        <w:rPr>
          <w:color w:val="222222"/>
          <w:sz w:val="24"/>
          <w:szCs w:val="24"/>
          <w:highlight w:val="white"/>
        </w:rPr>
        <w:t xml:space="preserve"> </w:t>
      </w:r>
    </w:p>
    <w:p w14:paraId="356123D0"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Alegría, L. (03 de diciembre de 2017). Variedad de regímenes perjudica la recaudación tributaria. El Comercio. Recuperado de https://elcomercio.pe/economia/variedadregimenes-perjudica-recaudacion-tributaria-noticia-478600</w:t>
      </w:r>
    </w:p>
    <w:p w14:paraId="6AA7A193"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Aráoz, M. (14 de octubre de 2017). Gobierno busca aumentar la recaudación tributaria. El peruano. Recuperado de https://elperuano.pe/noticia-gobierno-busca-aumentarrecaudacion-tributaria-60211.aspx</w:t>
      </w:r>
    </w:p>
    <w:p w14:paraId="3BEE86E4"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Arbaiza, L. (2014). Como elaborar una tesis de grado. (1ª ed.). Lima: Universidad ESAN.</w:t>
      </w:r>
    </w:p>
    <w:p w14:paraId="48B9AC00"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Armas. M (2009). Educación para el desarrollo de la cultura tributaria. Venezuela.</w:t>
      </w:r>
    </w:p>
    <w:p w14:paraId="1608474E"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Behar, D. (2008). Metodología de la investigación. Argentina: Editorial Shalom.</w:t>
      </w:r>
    </w:p>
    <w:p w14:paraId="56A443DE" w14:textId="77777777" w:rsidR="00632A6A" w:rsidRDefault="00632A6A">
      <w:pPr>
        <w:pBdr>
          <w:top w:val="nil"/>
          <w:left w:val="nil"/>
          <w:bottom w:val="nil"/>
          <w:right w:val="nil"/>
          <w:between w:val="nil"/>
        </w:pBdr>
        <w:spacing w:line="360" w:lineRule="auto"/>
        <w:ind w:firstLine="360"/>
        <w:jc w:val="both"/>
        <w:rPr>
          <w:color w:val="000000"/>
          <w:sz w:val="24"/>
          <w:szCs w:val="24"/>
        </w:rPr>
      </w:pPr>
    </w:p>
    <w:p w14:paraId="76CC6EE4" w14:textId="77777777" w:rsidR="00632A6A" w:rsidRDefault="004553F6">
      <w:pPr>
        <w:pBdr>
          <w:top w:val="nil"/>
          <w:left w:val="nil"/>
          <w:bottom w:val="nil"/>
          <w:right w:val="nil"/>
          <w:between w:val="nil"/>
        </w:pBdr>
        <w:spacing w:line="360" w:lineRule="auto"/>
        <w:ind w:left="709" w:hanging="709"/>
        <w:jc w:val="both"/>
        <w:rPr>
          <w:color w:val="222222"/>
          <w:sz w:val="24"/>
          <w:szCs w:val="24"/>
          <w:highlight w:val="white"/>
        </w:rPr>
      </w:pPr>
      <w:r>
        <w:rPr>
          <w:color w:val="222222"/>
          <w:sz w:val="24"/>
          <w:szCs w:val="24"/>
          <w:highlight w:val="white"/>
        </w:rPr>
        <w:t>Chaquila Cahuaza, S. J., &amp; Flores Tello, E. D. P. (2021). Evaluación de la informalidad y su relación con el crecimiento económico de los negocios del Mercado Central de Moyobamba 2021. https://repositorio.ucv.edu.pe/bitstream/handle/20.500.12692/80004/Chaquila_CSJ-Flores_TEDP-SD.pdf?sequence=1&amp;isAllowed=y</w:t>
      </w:r>
    </w:p>
    <w:p w14:paraId="1BC71977" w14:textId="77777777" w:rsidR="00632A6A" w:rsidRDefault="00632A6A">
      <w:pPr>
        <w:pBdr>
          <w:top w:val="nil"/>
          <w:left w:val="nil"/>
          <w:bottom w:val="nil"/>
          <w:right w:val="nil"/>
          <w:between w:val="nil"/>
        </w:pBdr>
        <w:spacing w:line="360" w:lineRule="auto"/>
        <w:ind w:left="709" w:hanging="709"/>
        <w:jc w:val="both"/>
        <w:rPr>
          <w:color w:val="222222"/>
          <w:sz w:val="24"/>
          <w:szCs w:val="24"/>
          <w:highlight w:val="white"/>
        </w:rPr>
      </w:pPr>
    </w:p>
    <w:p w14:paraId="4028AECA" w14:textId="760E12B9" w:rsidR="00632A6A" w:rsidRDefault="004553F6">
      <w:pPr>
        <w:pBdr>
          <w:top w:val="nil"/>
          <w:left w:val="nil"/>
          <w:bottom w:val="nil"/>
          <w:right w:val="nil"/>
          <w:between w:val="nil"/>
        </w:pBdr>
        <w:spacing w:line="360" w:lineRule="auto"/>
        <w:ind w:left="709" w:hanging="709"/>
        <w:jc w:val="both"/>
        <w:rPr>
          <w:color w:val="222222"/>
          <w:sz w:val="24"/>
          <w:szCs w:val="24"/>
          <w:highlight w:val="white"/>
        </w:rPr>
      </w:pPr>
      <w:r>
        <w:rPr>
          <w:color w:val="222222"/>
          <w:sz w:val="24"/>
          <w:szCs w:val="24"/>
          <w:highlight w:val="white"/>
        </w:rPr>
        <w:lastRenderedPageBreak/>
        <w:t xml:space="preserve">Cubas Quiroz, U. N. (2017). Efectos de la informalidad de las mypes en la recaudación tributaria del distrito de </w:t>
      </w:r>
      <w:r w:rsidR="00225FD2">
        <w:rPr>
          <w:color w:val="222222"/>
          <w:sz w:val="24"/>
          <w:szCs w:val="24"/>
          <w:highlight w:val="white"/>
        </w:rPr>
        <w:t>José</w:t>
      </w:r>
      <w:r>
        <w:rPr>
          <w:color w:val="222222"/>
          <w:sz w:val="24"/>
          <w:szCs w:val="24"/>
          <w:highlight w:val="white"/>
        </w:rPr>
        <w:t xml:space="preserve"> </w:t>
      </w:r>
      <w:r w:rsidR="00225FD2">
        <w:rPr>
          <w:color w:val="222222"/>
          <w:sz w:val="24"/>
          <w:szCs w:val="24"/>
          <w:highlight w:val="white"/>
        </w:rPr>
        <w:t>Leonardo</w:t>
      </w:r>
      <w:r>
        <w:rPr>
          <w:color w:val="222222"/>
          <w:sz w:val="24"/>
          <w:szCs w:val="24"/>
          <w:highlight w:val="white"/>
        </w:rPr>
        <w:t xml:space="preserve"> </w:t>
      </w:r>
      <w:r w:rsidR="00225FD2">
        <w:rPr>
          <w:color w:val="222222"/>
          <w:sz w:val="24"/>
          <w:szCs w:val="24"/>
          <w:highlight w:val="white"/>
        </w:rPr>
        <w:t>Ortiz</w:t>
      </w:r>
      <w:r>
        <w:rPr>
          <w:color w:val="222222"/>
          <w:sz w:val="24"/>
          <w:szCs w:val="24"/>
          <w:highlight w:val="white"/>
        </w:rPr>
        <w:t xml:space="preserve"> de la provincia de </w:t>
      </w:r>
      <w:r w:rsidR="00225FD2">
        <w:rPr>
          <w:color w:val="222222"/>
          <w:sz w:val="24"/>
          <w:szCs w:val="24"/>
          <w:highlight w:val="white"/>
        </w:rPr>
        <w:t>Chiclayo</w:t>
      </w:r>
      <w:r>
        <w:rPr>
          <w:color w:val="222222"/>
          <w:sz w:val="24"/>
          <w:szCs w:val="24"/>
          <w:highlight w:val="white"/>
        </w:rPr>
        <w:t xml:space="preserve">, año 2016–2017. </w:t>
      </w:r>
      <w:hyperlink r:id="rId10">
        <w:r>
          <w:rPr>
            <w:color w:val="000000"/>
            <w:sz w:val="24"/>
            <w:szCs w:val="24"/>
            <w:highlight w:val="white"/>
          </w:rPr>
          <w:t>https://repositorio.unprg.edu.pe/bitstream/handle/20.500.12893/7714/BC-1812%20CUBAS%20QUIROZ.pdf?sequence=1&amp;isAllowed=y</w:t>
        </w:r>
      </w:hyperlink>
    </w:p>
    <w:p w14:paraId="73C65CF0" w14:textId="77777777" w:rsidR="00632A6A" w:rsidRDefault="00632A6A">
      <w:pPr>
        <w:pBdr>
          <w:top w:val="nil"/>
          <w:left w:val="nil"/>
          <w:bottom w:val="nil"/>
          <w:right w:val="nil"/>
          <w:between w:val="nil"/>
        </w:pBdr>
        <w:spacing w:line="360" w:lineRule="auto"/>
        <w:ind w:left="851" w:hanging="851"/>
        <w:jc w:val="both"/>
        <w:rPr>
          <w:color w:val="222222"/>
          <w:sz w:val="24"/>
          <w:szCs w:val="24"/>
          <w:highlight w:val="white"/>
        </w:rPr>
      </w:pPr>
    </w:p>
    <w:p w14:paraId="1BE85010" w14:textId="77777777" w:rsidR="00632A6A" w:rsidRDefault="004553F6">
      <w:pPr>
        <w:pBdr>
          <w:top w:val="nil"/>
          <w:left w:val="nil"/>
          <w:bottom w:val="nil"/>
          <w:right w:val="nil"/>
          <w:between w:val="nil"/>
        </w:pBdr>
        <w:spacing w:line="360" w:lineRule="auto"/>
        <w:ind w:left="709" w:hanging="709"/>
        <w:jc w:val="both"/>
        <w:rPr>
          <w:color w:val="222222"/>
          <w:sz w:val="24"/>
          <w:szCs w:val="24"/>
          <w:highlight w:val="white"/>
        </w:rPr>
      </w:pPr>
      <w:r>
        <w:rPr>
          <w:color w:val="222222"/>
          <w:sz w:val="24"/>
          <w:szCs w:val="24"/>
          <w:highlight w:val="white"/>
        </w:rPr>
        <w:t xml:space="preserve">Delgado Mallque, F. M., &amp; Mendieta Landeo, C. M. (2015). La informalidad y el crecimiento económico de las MYPES en el Distrito de Acobamaba. </w:t>
      </w:r>
      <w:hyperlink r:id="rId11">
        <w:r>
          <w:rPr>
            <w:color w:val="000000"/>
            <w:sz w:val="24"/>
            <w:szCs w:val="24"/>
            <w:highlight w:val="white"/>
          </w:rPr>
          <w:t>http://repositorio.unh.edu.pe/bitstream/handle/UNH/53/TP%20-%20UNH%20ADMIN.%200051.pdf?sequence=1&amp;isAllowed=y</w:t>
        </w:r>
      </w:hyperlink>
    </w:p>
    <w:p w14:paraId="3A542671"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Enríquez, F. (2011). Participación de las MYPES de la localidad de Huancavelica en las compras estatales de la Municipalidad Provincial de Huancavelica. Huancavelica: Universidad nacional de Huancavelica.</w:t>
      </w:r>
    </w:p>
    <w:p w14:paraId="49539278"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Hernández, R. y Mendoza, C. (2018). Metodología de la investigación: Las rutas cuantitativa, cualitativa y mixta. México: McGraw-Hill Education.</w:t>
      </w:r>
    </w:p>
    <w:p w14:paraId="2626E222" w14:textId="77777777" w:rsidR="00632A6A" w:rsidRDefault="00632A6A">
      <w:pPr>
        <w:pBdr>
          <w:top w:val="nil"/>
          <w:left w:val="nil"/>
          <w:bottom w:val="nil"/>
          <w:right w:val="nil"/>
          <w:between w:val="nil"/>
        </w:pBdr>
        <w:spacing w:line="360" w:lineRule="auto"/>
        <w:ind w:left="709" w:hanging="709"/>
        <w:jc w:val="both"/>
        <w:rPr>
          <w:color w:val="000000"/>
          <w:sz w:val="24"/>
          <w:szCs w:val="24"/>
        </w:rPr>
      </w:pPr>
    </w:p>
    <w:p w14:paraId="3CBDF257" w14:textId="77777777" w:rsidR="00632A6A" w:rsidRDefault="004553F6">
      <w:pPr>
        <w:pBdr>
          <w:top w:val="nil"/>
          <w:left w:val="nil"/>
          <w:bottom w:val="nil"/>
          <w:right w:val="nil"/>
          <w:between w:val="nil"/>
        </w:pBdr>
        <w:spacing w:line="360" w:lineRule="auto"/>
        <w:ind w:left="709" w:hanging="709"/>
        <w:jc w:val="both"/>
        <w:rPr>
          <w:color w:val="000000"/>
          <w:sz w:val="24"/>
          <w:szCs w:val="24"/>
        </w:rPr>
      </w:pPr>
      <w:r>
        <w:rPr>
          <w:color w:val="000000"/>
          <w:sz w:val="24"/>
          <w:szCs w:val="24"/>
        </w:rPr>
        <w:t xml:space="preserve">Hidalgo Flores, J. M., &amp; Areche Callirgos, G. S. (2022). Factores socioeconómicos y su relación con la recaudación tributaria en Loreto, año 2019. </w:t>
      </w:r>
      <w:hyperlink r:id="rId12">
        <w:r>
          <w:rPr>
            <w:color w:val="000000"/>
            <w:sz w:val="24"/>
            <w:szCs w:val="24"/>
          </w:rPr>
          <w:t>https://repositorio.unapiquitos.edu.pe/bitstream/handle/20.500.12737/8060/Jesslyne_Tesis_Titulo_2022.pdf?sequence=1&amp;isAllowed=y</w:t>
        </w:r>
      </w:hyperlink>
    </w:p>
    <w:p w14:paraId="5E06D217"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Huangal, R., Quispe, N., &amp; Canales, J. (2016). Formalización de las MYPES textiles del Emporio Comercial de Gamarra para el acceso a los programas de apoyo empresarial ejecutados por el Estado. Resma, 3(2), 13–22.</w:t>
      </w:r>
    </w:p>
    <w:p w14:paraId="46B69811"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Niño, M. (2011). "Metodología de la investigación". Bogotá: Ediciones de la U.</w:t>
      </w:r>
    </w:p>
    <w:p w14:paraId="65F4AA9A"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La República (07 de diciembre de 2018). Sunat: Recaudación tributaria creció 16,8% entre enero y noviembre. La República. Recuperado de https://larepublica.pe/economia/1371733-sunat-recaudacion-tributaria-crecio-168- enero-noviembre</w:t>
      </w:r>
    </w:p>
    <w:p w14:paraId="7641BB65"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Lahura, E. (2016). Sistema financiero, informalidad y evasión tributaria en el Perú. Lima: Banco Central de Reserva del Perú [BCRP].</w:t>
      </w:r>
    </w:p>
    <w:p w14:paraId="52BF0FA5"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lastRenderedPageBreak/>
        <w:t>Sánchez, A. (2007) Gestión empresarial, relaciones de poder, liderazgo, conflicto e intereses en una organización financiera colombiana, Bogotá: Edición electrónica gratuita. www.eumed.net/libros/2007c/337/</w:t>
      </w:r>
    </w:p>
    <w:p w14:paraId="06C813D2"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 xml:space="preserve">Shiguiyama, V. (21 de junio de 2018). No podemos tener mayor presión tributaria con el sistema actual. El Comercio. Recuperado de https://elcomercio.pe/economia/presiontributaria-sunat-mayor-sistema-actual-noticia-529794 </w:t>
      </w:r>
    </w:p>
    <w:p w14:paraId="44AD21D3"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Sampieri, R., Fernández, C., y Baptista, M. (2014). Metodología de la investigación. 6° edición. Editorial McGraw Hill. México.</w:t>
      </w:r>
    </w:p>
    <w:p w14:paraId="40F780E1"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El peruano. (31 de Julio de 2017). Comercio exterior y turismo. Normas legales, págs. 18-19.</w:t>
      </w:r>
    </w:p>
    <w:p w14:paraId="721820C9"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BCRP (Banco Central de Reserva del Perú) (2020). Memoria Anual 2019. Recuperado el 20 de agosto de 2020 de: https://www.bcrp.gob.pe/docs/Publicaciones/Memoria/2019/memoria-bcrp-2019- 3.pdf</w:t>
      </w:r>
    </w:p>
    <w:p w14:paraId="22AEB230"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Instituto Peruano de Economía (2019) Reforma de la micro y pequeña empresa. Recuperado el 9 de octubre de 2020 de: https://www.ipe.org.pe/portal/reforma-de-la-micro-ypequenaempresa/#:~:text=La%20recaudaci%C3%B3n%20promedio%20mensual%20en,f ormalidad%20y%20la%20base%20tributaria. &amp;text=Con%20ello%2C%20se%20 busca%20facilitar, y%20disminuir%20la%20evasi%C3%B3n%20tributaria.</w:t>
      </w:r>
    </w:p>
    <w:p w14:paraId="22F695F5" w14:textId="042D2212"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 xml:space="preserve">Suárez, C. (01 de diciembre de 2018). La recaudación tributaria mantiene tendencia positiva. El </w:t>
      </w:r>
      <w:r w:rsidR="00225FD2">
        <w:rPr>
          <w:color w:val="000000"/>
          <w:sz w:val="24"/>
          <w:szCs w:val="24"/>
        </w:rPr>
        <w:t>peruano</w:t>
      </w:r>
      <w:r>
        <w:rPr>
          <w:color w:val="000000"/>
          <w:sz w:val="24"/>
          <w:szCs w:val="24"/>
        </w:rPr>
        <w:t>. Recuperado de https://elperuano.pe/noticia-la-recaudacion-tributariamantiene-tendencia-positiva-73382.aspx</w:t>
      </w:r>
    </w:p>
    <w:p w14:paraId="68E3AC85"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 xml:space="preserve">SUNAT (Superintendencia Nacional de Aduanas y de Administración Tributaria) (2019) INFORME 45-2019-SUNAT/1V3000. Recuperado el 28 de agosto de 2020 de: https://www.mef.gob.pe/contenidos/tributos/doc/Incumplimiento_IGV_2018.pdf </w:t>
      </w:r>
    </w:p>
    <w:p w14:paraId="015E6654"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SUNAT (Superintendencia Nacional de Aduanas y de Administración Tributaria) (2018) Memorial anual 2018. Recuperado el 9 de octubre de 2020 de: http://www.sunat.gob.pe/cuentassunat/planestrategico/memoria/memoria2018.pdf</w:t>
      </w:r>
    </w:p>
    <w:p w14:paraId="1D88493C"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lastRenderedPageBreak/>
        <w:t xml:space="preserve">Memoria Anual, SUNAT 2014, www. Sunat.Gob.pe </w:t>
      </w:r>
    </w:p>
    <w:p w14:paraId="106E366D"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Ministerio de la Producción, Dirección General de Estudios Económicos, Evaluación y Competitividad Territorial (2011), Estadísticas de la Micro y Pequeña Empresa 2011.</w:t>
      </w:r>
    </w:p>
    <w:p w14:paraId="6F2AB858"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 xml:space="preserve">Ministerio de la Producción 2012 </w:t>
      </w:r>
    </w:p>
    <w:p w14:paraId="54EEE7C3"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 xml:space="preserve">Ministerio de la Producción, Las Mipymes en Cifras 2013,2014,2015,2016,2017,2018,2019 </w:t>
      </w:r>
    </w:p>
    <w:p w14:paraId="6C3E19B3"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 xml:space="preserve">Ministerio de Trabajo y Promoción del Empleo (MTPE), 2005 </w:t>
      </w:r>
    </w:p>
    <w:p w14:paraId="256CDD84"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Ministerio de Trabajo y Promoción del Empleo (MTPE), 2007</w:t>
      </w:r>
    </w:p>
    <w:p w14:paraId="5C7AE399" w14:textId="77777777" w:rsidR="00632A6A" w:rsidRDefault="004553F6">
      <w:pPr>
        <w:pBdr>
          <w:top w:val="nil"/>
          <w:left w:val="nil"/>
          <w:bottom w:val="nil"/>
          <w:right w:val="nil"/>
          <w:between w:val="nil"/>
        </w:pBdr>
        <w:spacing w:before="240" w:line="360" w:lineRule="auto"/>
        <w:ind w:left="720" w:hanging="720"/>
        <w:jc w:val="both"/>
        <w:rPr>
          <w:color w:val="000000"/>
          <w:sz w:val="24"/>
          <w:szCs w:val="24"/>
        </w:rPr>
      </w:pPr>
      <w:r>
        <w:rPr>
          <w:color w:val="000000"/>
          <w:sz w:val="24"/>
          <w:szCs w:val="24"/>
        </w:rPr>
        <w:t>Valderrama, S. (2013). Pasos para elaborar proyectos y tesis de Investigación Científica. Lima: San Marcos</w:t>
      </w:r>
    </w:p>
    <w:p w14:paraId="717A4BD5" w14:textId="77777777" w:rsidR="00632A6A" w:rsidRDefault="004553F6">
      <w:r>
        <w:br w:type="page"/>
      </w:r>
    </w:p>
    <w:p w14:paraId="7BBC0FC1" w14:textId="77777777" w:rsidR="00632A6A" w:rsidRDefault="00632A6A"/>
    <w:sectPr w:rsidR="00632A6A">
      <w:pgSz w:w="12240" w:h="15840"/>
      <w:pgMar w:top="1440" w:right="1440" w:bottom="1440" w:left="1440" w:header="907" w:footer="386" w:gutter="0"/>
      <w:pgNumType w:start="4"/>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E1E2D"/>
    <w:multiLevelType w:val="multilevel"/>
    <w:tmpl w:val="D1A8C93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A6A"/>
    <w:rsid w:val="00042E5E"/>
    <w:rsid w:val="000644BD"/>
    <w:rsid w:val="000A14A9"/>
    <w:rsid w:val="000C1D27"/>
    <w:rsid w:val="000C3B5E"/>
    <w:rsid w:val="000D26C6"/>
    <w:rsid w:val="00225FD2"/>
    <w:rsid w:val="0029394D"/>
    <w:rsid w:val="00440F7D"/>
    <w:rsid w:val="004553F6"/>
    <w:rsid w:val="00502C77"/>
    <w:rsid w:val="005B7EA5"/>
    <w:rsid w:val="00632A6A"/>
    <w:rsid w:val="006434DF"/>
    <w:rsid w:val="00671A27"/>
    <w:rsid w:val="00672A1F"/>
    <w:rsid w:val="00686185"/>
    <w:rsid w:val="006B41A0"/>
    <w:rsid w:val="007112E7"/>
    <w:rsid w:val="007D169C"/>
    <w:rsid w:val="007D5246"/>
    <w:rsid w:val="008E154F"/>
    <w:rsid w:val="00933AE2"/>
    <w:rsid w:val="0095170F"/>
    <w:rsid w:val="009670E4"/>
    <w:rsid w:val="00A253CF"/>
    <w:rsid w:val="00B0647E"/>
    <w:rsid w:val="00C44F79"/>
    <w:rsid w:val="00C85D8D"/>
    <w:rsid w:val="00DD10AC"/>
    <w:rsid w:val="00E73EFA"/>
    <w:rsid w:val="00FF2A2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E1AAF"/>
  <w15:docId w15:val="{6CD8F59D-F8BE-4632-91C4-AF72EAE9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hyperlink" Target="https://repositorio.unapiquitos.edu.pe/bitstream/handle/20.500.12737/8060/Jesslyne_Tesis_Titulo_2022.pdf?sequence=1&amp;isAllowe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http://repositorio.unh.edu.pe/bitstream/handle/UNH/53/TP%20-%20UNH%20ADMIN.%200051.pdf?sequence=1&amp;isAllowed=y" TargetMode="External"/><Relationship Id="rId5" Type="http://schemas.openxmlformats.org/officeDocument/2006/relationships/chart" Target="charts/chart1.xml"/><Relationship Id="rId10" Type="http://schemas.openxmlformats.org/officeDocument/2006/relationships/hyperlink" Target="https://repositorio.unprg.edu.pe/bitstream/handle/20.500.12893/7714/BC-1812%20CUBAS%20QUIROZ.pdf?sequence=1&amp;isAllowed=y" TargetMode="External"/><Relationship Id="rId4" Type="http://schemas.openxmlformats.org/officeDocument/2006/relationships/webSettings" Target="webSettings.xml"/><Relationship Id="rId9" Type="http://schemas.openxmlformats.org/officeDocument/2006/relationships/hyperlink" Target="https://revistas.uclave.org/index.php/dissertare/article/view/2793/1750"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2022\INNGROWTH\CLIENTES\PERCY%20QUISPE\ART&#205;CULO\EXCEL%20YAJAIR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oleObject" Target="file:///G:\TESIS%20TRABAJOS\Nueva%20carpeta\DATOS\CONSOLIDADO.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file:///G:\TESIS%20TRABAJOS\Nueva%20carpeta\DATOS\CONSOLIDADO.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E:\TESIS%20TRABAJOS\Nueva%20carpeta\DATOS\CONSOLIDAD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Hoja3!$F$16</c:f>
              <c:strCache>
                <c:ptCount val="1"/>
                <c:pt idx="0">
                  <c:v>MYPES formales</c:v>
                </c:pt>
              </c:strCache>
            </c:strRef>
          </c:tx>
          <c:spPr>
            <a:solidFill>
              <a:schemeClr val="accent1"/>
            </a:solidFill>
            <a:ln>
              <a:noFill/>
            </a:ln>
            <a:effectLst/>
            <a:sp3d/>
          </c:spPr>
          <c:invertIfNegative val="0"/>
          <c:cat>
            <c:numRef>
              <c:f>Hoja3!$E$17:$E$24</c:f>
              <c:numCache>
                <c:formatCode>0</c:formatCode>
                <c:ptCount val="8"/>
                <c:pt idx="0">
                  <c:v>2012</c:v>
                </c:pt>
                <c:pt idx="1">
                  <c:v>2013</c:v>
                </c:pt>
                <c:pt idx="2">
                  <c:v>2014</c:v>
                </c:pt>
                <c:pt idx="3">
                  <c:v>2015</c:v>
                </c:pt>
                <c:pt idx="4">
                  <c:v>2016</c:v>
                </c:pt>
                <c:pt idx="5">
                  <c:v>2017</c:v>
                </c:pt>
                <c:pt idx="6">
                  <c:v>2018</c:v>
                </c:pt>
                <c:pt idx="7">
                  <c:v>2019</c:v>
                </c:pt>
              </c:numCache>
            </c:numRef>
          </c:cat>
          <c:val>
            <c:numRef>
              <c:f>Hoja3!$F$17:$F$24</c:f>
              <c:numCache>
                <c:formatCode>General</c:formatCode>
                <c:ptCount val="8"/>
                <c:pt idx="0">
                  <c:v>53078</c:v>
                </c:pt>
                <c:pt idx="1">
                  <c:v>63857</c:v>
                </c:pt>
                <c:pt idx="2">
                  <c:v>62764</c:v>
                </c:pt>
                <c:pt idx="3">
                  <c:v>64154</c:v>
                </c:pt>
                <c:pt idx="4">
                  <c:v>64268</c:v>
                </c:pt>
                <c:pt idx="5">
                  <c:v>66468</c:v>
                </c:pt>
                <c:pt idx="6">
                  <c:v>92298</c:v>
                </c:pt>
                <c:pt idx="7">
                  <c:v>91671</c:v>
                </c:pt>
              </c:numCache>
            </c:numRef>
          </c:val>
          <c:extLst>
            <c:ext xmlns:c16="http://schemas.microsoft.com/office/drawing/2014/chart" uri="{C3380CC4-5D6E-409C-BE32-E72D297353CC}">
              <c16:uniqueId val="{00000000-8B77-4A44-8F5F-FD465D2A03B1}"/>
            </c:ext>
          </c:extLst>
        </c:ser>
        <c:ser>
          <c:idx val="1"/>
          <c:order val="1"/>
          <c:tx>
            <c:strRef>
              <c:f>Hoja3!$G$16</c:f>
              <c:strCache>
                <c:ptCount val="1"/>
                <c:pt idx="0">
                  <c:v>MYPES informales</c:v>
                </c:pt>
              </c:strCache>
            </c:strRef>
          </c:tx>
          <c:spPr>
            <a:solidFill>
              <a:schemeClr val="accent2"/>
            </a:solidFill>
            <a:ln>
              <a:noFill/>
            </a:ln>
            <a:effectLst/>
            <a:sp3d/>
          </c:spPr>
          <c:invertIfNegative val="0"/>
          <c:cat>
            <c:numRef>
              <c:f>Hoja3!$E$17:$E$24</c:f>
              <c:numCache>
                <c:formatCode>0</c:formatCode>
                <c:ptCount val="8"/>
                <c:pt idx="0">
                  <c:v>2012</c:v>
                </c:pt>
                <c:pt idx="1">
                  <c:v>2013</c:v>
                </c:pt>
                <c:pt idx="2">
                  <c:v>2014</c:v>
                </c:pt>
                <c:pt idx="3">
                  <c:v>2015</c:v>
                </c:pt>
                <c:pt idx="4">
                  <c:v>2016</c:v>
                </c:pt>
                <c:pt idx="5">
                  <c:v>2017</c:v>
                </c:pt>
                <c:pt idx="6">
                  <c:v>2018</c:v>
                </c:pt>
                <c:pt idx="7">
                  <c:v>2019</c:v>
                </c:pt>
              </c:numCache>
            </c:numRef>
          </c:cat>
          <c:val>
            <c:numRef>
              <c:f>Hoja3!$G$17:$G$24</c:f>
              <c:numCache>
                <c:formatCode>General</c:formatCode>
                <c:ptCount val="8"/>
                <c:pt idx="0">
                  <c:v>25295</c:v>
                </c:pt>
                <c:pt idx="1">
                  <c:v>16532</c:v>
                </c:pt>
                <c:pt idx="2">
                  <c:v>19674</c:v>
                </c:pt>
                <c:pt idx="3">
                  <c:v>20131</c:v>
                </c:pt>
                <c:pt idx="4">
                  <c:v>22757</c:v>
                </c:pt>
                <c:pt idx="5">
                  <c:v>25065</c:v>
                </c:pt>
                <c:pt idx="6">
                  <c:v>1541</c:v>
                </c:pt>
                <c:pt idx="7">
                  <c:v>12523</c:v>
                </c:pt>
              </c:numCache>
            </c:numRef>
          </c:val>
          <c:extLst>
            <c:ext xmlns:c16="http://schemas.microsoft.com/office/drawing/2014/chart" uri="{C3380CC4-5D6E-409C-BE32-E72D297353CC}">
              <c16:uniqueId val="{00000001-8B77-4A44-8F5F-FD465D2A03B1}"/>
            </c:ext>
          </c:extLst>
        </c:ser>
        <c:dLbls>
          <c:showLegendKey val="0"/>
          <c:showVal val="0"/>
          <c:showCatName val="0"/>
          <c:showSerName val="0"/>
          <c:showPercent val="0"/>
          <c:showBubbleSize val="0"/>
        </c:dLbls>
        <c:gapWidth val="150"/>
        <c:shape val="box"/>
        <c:axId val="667671440"/>
        <c:axId val="667672528"/>
        <c:axId val="0"/>
      </c:bar3DChart>
      <c:catAx>
        <c:axId val="667671440"/>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7672528"/>
        <c:crosses val="autoZero"/>
        <c:auto val="1"/>
        <c:lblAlgn val="ctr"/>
        <c:lblOffset val="100"/>
        <c:noMultiLvlLbl val="0"/>
      </c:catAx>
      <c:valAx>
        <c:axId val="6676725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PE">
                    <a:latin typeface="Times New Roman" panose="02020603050405020304" pitchFamily="18" charset="0"/>
                    <a:cs typeface="Times New Roman" panose="02020603050405020304" pitchFamily="18" charset="0"/>
                  </a:rPr>
                  <a:t>MYPES TOTALES EN LIMA</a:t>
                </a:r>
              </a:p>
            </c:rich>
          </c:tx>
          <c:layout>
            <c:manualLayout>
              <c:xMode val="edge"/>
              <c:yMode val="edge"/>
              <c:x val="9.8455708450701826E-2"/>
              <c:y val="0.1502684466599948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767144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1"/>
          <c:tx>
            <c:strRef>
              <c:f>RESUMEN!$F$3</c:f>
              <c:strCache>
                <c:ptCount val="1"/>
                <c:pt idx="0">
                  <c:v>INGRESOS  TRIBUTARIOS(millones de soles)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RESUMEN!$B$4:$B$11</c:f>
              <c:numCache>
                <c:formatCode>General</c:formatCode>
                <c:ptCount val="8"/>
                <c:pt idx="0">
                  <c:v>2012</c:v>
                </c:pt>
                <c:pt idx="1">
                  <c:v>2013</c:v>
                </c:pt>
                <c:pt idx="2">
                  <c:v>2014</c:v>
                </c:pt>
                <c:pt idx="3">
                  <c:v>2015</c:v>
                </c:pt>
                <c:pt idx="4">
                  <c:v>2016</c:v>
                </c:pt>
                <c:pt idx="5">
                  <c:v>2017</c:v>
                </c:pt>
                <c:pt idx="6">
                  <c:v>2018</c:v>
                </c:pt>
                <c:pt idx="7">
                  <c:v>2019</c:v>
                </c:pt>
              </c:numCache>
            </c:numRef>
          </c:cat>
          <c:val>
            <c:numRef>
              <c:f>RESUMEN!$F$4:$F$11</c:f>
              <c:numCache>
                <c:formatCode>#,##0,,</c:formatCode>
                <c:ptCount val="8"/>
                <c:pt idx="0">
                  <c:v>59761683375.480003</c:v>
                </c:pt>
                <c:pt idx="1">
                  <c:v>63711106526.620018</c:v>
                </c:pt>
                <c:pt idx="2">
                  <c:v>67468212440.209984</c:v>
                </c:pt>
                <c:pt idx="3">
                  <c:v>63351043340.960411</c:v>
                </c:pt>
                <c:pt idx="4">
                  <c:v>66385451133.070297</c:v>
                </c:pt>
                <c:pt idx="5">
                  <c:v>66756661196.560219</c:v>
                </c:pt>
                <c:pt idx="6">
                  <c:v>74985713801.540237</c:v>
                </c:pt>
                <c:pt idx="7">
                  <c:v>81455878672.080185</c:v>
                </c:pt>
              </c:numCache>
            </c:numRef>
          </c:val>
          <c:smooth val="0"/>
          <c:extLst>
            <c:ext xmlns:c16="http://schemas.microsoft.com/office/drawing/2014/chart" uri="{C3380CC4-5D6E-409C-BE32-E72D297353CC}">
              <c16:uniqueId val="{00000000-92D3-494C-B9E6-04FFAC51288D}"/>
            </c:ext>
          </c:extLst>
        </c:ser>
        <c:dLbls>
          <c:showLegendKey val="0"/>
          <c:showVal val="0"/>
          <c:showCatName val="0"/>
          <c:showSerName val="0"/>
          <c:showPercent val="0"/>
          <c:showBubbleSize val="0"/>
        </c:dLbls>
        <c:marker val="1"/>
        <c:smooth val="0"/>
        <c:axId val="619078032"/>
        <c:axId val="619075312"/>
      </c:lineChart>
      <c:lineChart>
        <c:grouping val="standard"/>
        <c:varyColors val="0"/>
        <c:ser>
          <c:idx val="0"/>
          <c:order val="0"/>
          <c:tx>
            <c:strRef>
              <c:f>RESUMEN!$E$3</c:f>
              <c:strCache>
                <c:ptCount val="1"/>
                <c:pt idx="0">
                  <c:v>MYPES LIMA METROPOLITANA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RESUMEN!$B$4:$B$11</c:f>
              <c:numCache>
                <c:formatCode>General</c:formatCode>
                <c:ptCount val="8"/>
                <c:pt idx="0">
                  <c:v>2012</c:v>
                </c:pt>
                <c:pt idx="1">
                  <c:v>2013</c:v>
                </c:pt>
                <c:pt idx="2">
                  <c:v>2014</c:v>
                </c:pt>
                <c:pt idx="3">
                  <c:v>2015</c:v>
                </c:pt>
                <c:pt idx="4">
                  <c:v>2016</c:v>
                </c:pt>
                <c:pt idx="5">
                  <c:v>2017</c:v>
                </c:pt>
                <c:pt idx="6">
                  <c:v>2018</c:v>
                </c:pt>
                <c:pt idx="7">
                  <c:v>2019</c:v>
                </c:pt>
              </c:numCache>
            </c:numRef>
          </c:cat>
          <c:val>
            <c:numRef>
              <c:f>RESUMEN!$E$4:$E$11</c:f>
              <c:numCache>
                <c:formatCode>#,##0</c:formatCode>
                <c:ptCount val="8"/>
                <c:pt idx="0">
                  <c:v>78373</c:v>
                </c:pt>
                <c:pt idx="1">
                  <c:v>80389</c:v>
                </c:pt>
                <c:pt idx="2">
                  <c:v>82438</c:v>
                </c:pt>
                <c:pt idx="3">
                  <c:v>84285</c:v>
                </c:pt>
                <c:pt idx="4">
                  <c:v>87025</c:v>
                </c:pt>
                <c:pt idx="5">
                  <c:v>91533</c:v>
                </c:pt>
                <c:pt idx="6">
                  <c:v>93839</c:v>
                </c:pt>
                <c:pt idx="7">
                  <c:v>104194</c:v>
                </c:pt>
              </c:numCache>
            </c:numRef>
          </c:val>
          <c:smooth val="0"/>
          <c:extLst>
            <c:ext xmlns:c16="http://schemas.microsoft.com/office/drawing/2014/chart" uri="{C3380CC4-5D6E-409C-BE32-E72D297353CC}">
              <c16:uniqueId val="{00000001-92D3-494C-B9E6-04FFAC51288D}"/>
            </c:ext>
          </c:extLst>
        </c:ser>
        <c:dLbls>
          <c:showLegendKey val="0"/>
          <c:showVal val="0"/>
          <c:showCatName val="0"/>
          <c:showSerName val="0"/>
          <c:showPercent val="0"/>
          <c:showBubbleSize val="0"/>
        </c:dLbls>
        <c:marker val="1"/>
        <c:smooth val="0"/>
        <c:axId val="619076400"/>
        <c:axId val="619079120"/>
      </c:lineChart>
      <c:catAx>
        <c:axId val="619078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619075312"/>
        <c:crosses val="autoZero"/>
        <c:auto val="1"/>
        <c:lblAlgn val="ctr"/>
        <c:lblOffset val="100"/>
        <c:noMultiLvlLbl val="0"/>
      </c:catAx>
      <c:valAx>
        <c:axId val="619075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b="0"/>
                </a:pPr>
                <a:r>
                  <a:rPr lang="es-PE" b="0"/>
                  <a:t>MILLONES DE SOLES</a:t>
                </a:r>
              </a:p>
            </c:rich>
          </c:tx>
          <c:layout>
            <c:manualLayout>
              <c:xMode val="edge"/>
              <c:yMode val="edge"/>
              <c:x val="0.19707689253775404"/>
              <c:y val="0.10917836285049025"/>
            </c:manualLayout>
          </c:layout>
          <c:overlay val="0"/>
          <c:spPr>
            <a:noFill/>
            <a:ln>
              <a:noFill/>
            </a:ln>
            <a:effectLst/>
          </c:spPr>
        </c:title>
        <c:numFmt formatCode="#,##0,," sourceLinked="1"/>
        <c:majorTickMark val="none"/>
        <c:minorTickMark val="none"/>
        <c:tickLblPos val="nextTo"/>
        <c:spPr>
          <a:noFill/>
          <a:ln>
            <a:noFill/>
          </a:ln>
          <a:effectLst/>
        </c:spPr>
        <c:txPr>
          <a:bodyPr rot="-60000000" vert="horz"/>
          <a:lstStyle/>
          <a:p>
            <a:pPr>
              <a:defRPr/>
            </a:pPr>
            <a:endParaRPr lang="en-US"/>
          </a:p>
        </c:txPr>
        <c:crossAx val="619078032"/>
        <c:crosses val="autoZero"/>
        <c:crossBetween val="between"/>
      </c:valAx>
      <c:valAx>
        <c:axId val="619079120"/>
        <c:scaling>
          <c:orientation val="minMax"/>
        </c:scaling>
        <c:delete val="0"/>
        <c:axPos val="r"/>
        <c:title>
          <c:tx>
            <c:rich>
              <a:bodyPr rot="-5400000" vert="horz"/>
              <a:lstStyle/>
              <a:p>
                <a:pPr>
                  <a:defRPr b="0"/>
                </a:pPr>
                <a:r>
                  <a:rPr lang="es-PE" b="0"/>
                  <a:t>CANTIDAD DE MYPES</a:t>
                </a:r>
              </a:p>
            </c:rich>
          </c:tx>
          <c:layout>
            <c:manualLayout>
              <c:xMode val="edge"/>
              <c:yMode val="edge"/>
              <c:x val="0.95156402960942099"/>
              <c:y val="9.209619247815963E-2"/>
            </c:manualLayout>
          </c:layout>
          <c:overlay val="0"/>
          <c:spPr>
            <a:noFill/>
            <a:ln>
              <a:noFill/>
            </a:ln>
            <a:effectLst/>
          </c:spPr>
        </c:title>
        <c:numFmt formatCode="#,##0" sourceLinked="1"/>
        <c:majorTickMark val="out"/>
        <c:minorTickMark val="none"/>
        <c:tickLblPos val="nextTo"/>
        <c:spPr>
          <a:noFill/>
          <a:ln>
            <a:noFill/>
          </a:ln>
          <a:effectLst/>
        </c:spPr>
        <c:txPr>
          <a:bodyPr rot="-60000000" vert="horz"/>
          <a:lstStyle/>
          <a:p>
            <a:pPr>
              <a:defRPr/>
            </a:pPr>
            <a:endParaRPr lang="en-US"/>
          </a:p>
        </c:txPr>
        <c:crossAx val="619076400"/>
        <c:crosses val="max"/>
        <c:crossBetween val="between"/>
      </c:valAx>
      <c:catAx>
        <c:axId val="619076400"/>
        <c:scaling>
          <c:orientation val="minMax"/>
        </c:scaling>
        <c:delete val="1"/>
        <c:axPos val="b"/>
        <c:numFmt formatCode="General" sourceLinked="1"/>
        <c:majorTickMark val="out"/>
        <c:minorTickMark val="none"/>
        <c:tickLblPos val="nextTo"/>
        <c:crossAx val="619079120"/>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dTable>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rot="5400000" vert="horz" anchor="t" anchorCtr="1"/>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RESUMEN!$F$3</c:f>
              <c:strCache>
                <c:ptCount val="1"/>
                <c:pt idx="0">
                  <c:v>INGRESOS  TRIBUTARIOS(millones de soles)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RESUMEN!$B$4:$B$11</c:f>
              <c:numCache>
                <c:formatCode>General</c:formatCode>
                <c:ptCount val="8"/>
                <c:pt idx="0">
                  <c:v>2012</c:v>
                </c:pt>
                <c:pt idx="1">
                  <c:v>2013</c:v>
                </c:pt>
                <c:pt idx="2">
                  <c:v>2014</c:v>
                </c:pt>
                <c:pt idx="3">
                  <c:v>2015</c:v>
                </c:pt>
                <c:pt idx="4">
                  <c:v>2016</c:v>
                </c:pt>
                <c:pt idx="5">
                  <c:v>2017</c:v>
                </c:pt>
                <c:pt idx="6">
                  <c:v>2018</c:v>
                </c:pt>
                <c:pt idx="7">
                  <c:v>2019</c:v>
                </c:pt>
              </c:numCache>
            </c:numRef>
          </c:cat>
          <c:val>
            <c:numRef>
              <c:f>RESUMEN!$F$4:$F$11</c:f>
              <c:numCache>
                <c:formatCode>#,##0,,</c:formatCode>
                <c:ptCount val="8"/>
                <c:pt idx="0">
                  <c:v>59761683375.480003</c:v>
                </c:pt>
                <c:pt idx="1">
                  <c:v>63711106526.620018</c:v>
                </c:pt>
                <c:pt idx="2">
                  <c:v>67468212440.209984</c:v>
                </c:pt>
                <c:pt idx="3">
                  <c:v>63351043340.960411</c:v>
                </c:pt>
                <c:pt idx="4">
                  <c:v>66385451133.070297</c:v>
                </c:pt>
                <c:pt idx="5">
                  <c:v>66756661196.560219</c:v>
                </c:pt>
                <c:pt idx="6">
                  <c:v>74985713801.540237</c:v>
                </c:pt>
                <c:pt idx="7">
                  <c:v>81455878672.080185</c:v>
                </c:pt>
              </c:numCache>
            </c:numRef>
          </c:val>
          <c:smooth val="0"/>
          <c:extLst>
            <c:ext xmlns:c16="http://schemas.microsoft.com/office/drawing/2014/chart" uri="{C3380CC4-5D6E-409C-BE32-E72D297353CC}">
              <c16:uniqueId val="{00000000-B178-4165-8398-7BB67F449D04}"/>
            </c:ext>
          </c:extLst>
        </c:ser>
        <c:dLbls>
          <c:showLegendKey val="0"/>
          <c:showVal val="0"/>
          <c:showCatName val="0"/>
          <c:showSerName val="0"/>
          <c:showPercent val="0"/>
          <c:showBubbleSize val="0"/>
        </c:dLbls>
        <c:marker val="1"/>
        <c:smooth val="0"/>
        <c:axId val="619075856"/>
        <c:axId val="619073680"/>
      </c:lineChart>
      <c:lineChart>
        <c:grouping val="standard"/>
        <c:varyColors val="0"/>
        <c:ser>
          <c:idx val="1"/>
          <c:order val="1"/>
          <c:tx>
            <c:strRef>
              <c:f>RESUMEN!$K$3</c:f>
              <c:strCache>
                <c:ptCount val="1"/>
                <c:pt idx="0">
                  <c:v>MYPES INFORMALES LIMA MANUFACTURA(POR DIFERENCIA)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RESUMEN!$B$4:$B$11</c:f>
              <c:numCache>
                <c:formatCode>General</c:formatCode>
                <c:ptCount val="8"/>
                <c:pt idx="0">
                  <c:v>2012</c:v>
                </c:pt>
                <c:pt idx="1">
                  <c:v>2013</c:v>
                </c:pt>
                <c:pt idx="2">
                  <c:v>2014</c:v>
                </c:pt>
                <c:pt idx="3">
                  <c:v>2015</c:v>
                </c:pt>
                <c:pt idx="4">
                  <c:v>2016</c:v>
                </c:pt>
                <c:pt idx="5">
                  <c:v>2017</c:v>
                </c:pt>
                <c:pt idx="6">
                  <c:v>2018</c:v>
                </c:pt>
                <c:pt idx="7">
                  <c:v>2019</c:v>
                </c:pt>
              </c:numCache>
            </c:numRef>
          </c:cat>
          <c:val>
            <c:numRef>
              <c:f>RESUMEN!$K$4:$K$11</c:f>
              <c:numCache>
                <c:formatCode>General</c:formatCode>
                <c:ptCount val="8"/>
                <c:pt idx="0">
                  <c:v>25295</c:v>
                </c:pt>
                <c:pt idx="1">
                  <c:v>16532</c:v>
                </c:pt>
                <c:pt idx="2">
                  <c:v>19674</c:v>
                </c:pt>
                <c:pt idx="3">
                  <c:v>20131</c:v>
                </c:pt>
                <c:pt idx="4">
                  <c:v>22757</c:v>
                </c:pt>
                <c:pt idx="5">
                  <c:v>25065</c:v>
                </c:pt>
                <c:pt idx="6" formatCode="0">
                  <c:v>1541</c:v>
                </c:pt>
                <c:pt idx="7">
                  <c:v>12523</c:v>
                </c:pt>
              </c:numCache>
            </c:numRef>
          </c:val>
          <c:smooth val="0"/>
          <c:extLst>
            <c:ext xmlns:c16="http://schemas.microsoft.com/office/drawing/2014/chart" uri="{C3380CC4-5D6E-409C-BE32-E72D297353CC}">
              <c16:uniqueId val="{00000001-B178-4165-8398-7BB67F449D04}"/>
            </c:ext>
          </c:extLst>
        </c:ser>
        <c:dLbls>
          <c:showLegendKey val="0"/>
          <c:showVal val="0"/>
          <c:showCatName val="0"/>
          <c:showSerName val="0"/>
          <c:showPercent val="0"/>
          <c:showBubbleSize val="0"/>
        </c:dLbls>
        <c:marker val="1"/>
        <c:smooth val="0"/>
        <c:axId val="619076944"/>
        <c:axId val="619074224"/>
      </c:lineChart>
      <c:catAx>
        <c:axId val="619075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alpha val="96000"/>
                  </a:schemeClr>
                </a:solidFill>
                <a:latin typeface="+mn-lt"/>
                <a:ea typeface="+mn-ea"/>
                <a:cs typeface="+mn-cs"/>
              </a:defRPr>
            </a:pPr>
            <a:endParaRPr lang="en-US"/>
          </a:p>
        </c:txPr>
        <c:crossAx val="619073680"/>
        <c:crosses val="autoZero"/>
        <c:auto val="1"/>
        <c:lblAlgn val="ctr"/>
        <c:lblOffset val="100"/>
        <c:noMultiLvlLbl val="0"/>
      </c:catAx>
      <c:valAx>
        <c:axId val="6190736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alpha val="96000"/>
                      </a:schemeClr>
                    </a:solidFill>
                    <a:latin typeface="+mn-lt"/>
                    <a:ea typeface="+mn-ea"/>
                    <a:cs typeface="+mn-cs"/>
                  </a:defRPr>
                </a:pPr>
                <a:r>
                  <a:rPr lang="es-PE" sz="700"/>
                  <a:t>MILES DE MILLONES DE SOLES</a:t>
                </a:r>
              </a:p>
            </c:rich>
          </c:tx>
          <c:layout>
            <c:manualLayout>
              <c:xMode val="edge"/>
              <c:yMode val="edge"/>
              <c:x val="0.21651896856183417"/>
              <c:y val="4.1038695791322626E-3"/>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alpha val="96000"/>
                  </a:schemeClr>
                </a:solidFill>
                <a:latin typeface="+mn-lt"/>
                <a:ea typeface="+mn-ea"/>
                <a:cs typeface="+mn-cs"/>
              </a:defRPr>
            </a:pPr>
            <a:endParaRPr lang="en-US"/>
          </a:p>
        </c:txPr>
        <c:crossAx val="619075856"/>
        <c:crosses val="autoZero"/>
        <c:crossBetween val="between"/>
      </c:valAx>
      <c:valAx>
        <c:axId val="619074224"/>
        <c:scaling>
          <c:orientation val="minMax"/>
        </c:scaling>
        <c:delete val="0"/>
        <c:axPos val="r"/>
        <c:title>
          <c:tx>
            <c:rich>
              <a:bodyPr rot="-5400000" spcFirstLastPara="1" vertOverflow="ellipsis" vert="horz" wrap="square" anchor="ctr" anchorCtr="1"/>
              <a:lstStyle/>
              <a:p>
                <a:pPr>
                  <a:defRPr sz="700" b="0" i="0" u="none" strike="noStrike" kern="1200" baseline="0">
                    <a:solidFill>
                      <a:schemeClr val="tx1">
                        <a:alpha val="96000"/>
                      </a:schemeClr>
                    </a:solidFill>
                    <a:latin typeface="+mn-lt"/>
                    <a:ea typeface="+mn-ea"/>
                    <a:cs typeface="+mn-cs"/>
                  </a:defRPr>
                </a:pPr>
                <a:r>
                  <a:rPr lang="es-PE" sz="700"/>
                  <a:t>CANTIDAD</a:t>
                </a:r>
                <a:r>
                  <a:rPr lang="es-PE" sz="700" baseline="0"/>
                  <a:t> DE </a:t>
                </a:r>
                <a:r>
                  <a:rPr lang="es-PE" sz="700" b="0" i="0" u="none" strike="noStrike" kern="1200" baseline="0">
                    <a:solidFill>
                      <a:sysClr val="windowText" lastClr="000000">
                        <a:alpha val="96000"/>
                      </a:sysClr>
                    </a:solidFill>
                    <a:latin typeface="+mn-lt"/>
                    <a:ea typeface="+mn-ea"/>
                    <a:cs typeface="+mn-cs"/>
                  </a:rPr>
                  <a:t>MYPES</a:t>
                </a:r>
                <a:r>
                  <a:rPr lang="es-PE" sz="700" baseline="0"/>
                  <a:t> INFORMALES</a:t>
                </a:r>
                <a:endParaRPr lang="es-PE" sz="700"/>
              </a:p>
            </c:rich>
          </c:tx>
          <c:layout>
            <c:manualLayout>
              <c:xMode val="edge"/>
              <c:yMode val="edge"/>
              <c:x val="0.95508952350625287"/>
              <c:y val="3.7232392181197643E-2"/>
            </c:manualLayout>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alpha val="96000"/>
                  </a:schemeClr>
                </a:solidFill>
                <a:latin typeface="+mn-lt"/>
                <a:ea typeface="+mn-ea"/>
                <a:cs typeface="+mn-cs"/>
              </a:defRPr>
            </a:pPr>
            <a:endParaRPr lang="en-US"/>
          </a:p>
        </c:txPr>
        <c:crossAx val="619076944"/>
        <c:crosses val="max"/>
        <c:crossBetween val="between"/>
      </c:valAx>
      <c:catAx>
        <c:axId val="619076944"/>
        <c:scaling>
          <c:orientation val="minMax"/>
        </c:scaling>
        <c:delete val="1"/>
        <c:axPos val="b"/>
        <c:numFmt formatCode="General" sourceLinked="1"/>
        <c:majorTickMark val="out"/>
        <c:minorTickMark val="none"/>
        <c:tickLblPos val="nextTo"/>
        <c:crossAx val="619074224"/>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alpha val="96000"/>
                  </a:schemeClr>
                </a:solidFill>
                <a:latin typeface="+mn-lt"/>
                <a:ea typeface="+mn-ea"/>
                <a:cs typeface="+mn-cs"/>
              </a:defRPr>
            </a:pPr>
            <a:endParaRPr lang="en-US"/>
          </a:p>
        </c:txPr>
      </c:dTable>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tx1">
              <a:alpha val="96000"/>
            </a:schemeClr>
          </a:solidFill>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1"/>
          <c:tx>
            <c:strRef>
              <c:f>RESUMEN!$F$3</c:f>
              <c:strCache>
                <c:ptCount val="1"/>
                <c:pt idx="0">
                  <c:v>INGRESOS  TRIBUTARIOS(millones de soles)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RESUMEN!$B$4:$B$11</c:f>
              <c:numCache>
                <c:formatCode>General</c:formatCode>
                <c:ptCount val="8"/>
                <c:pt idx="0">
                  <c:v>2012</c:v>
                </c:pt>
                <c:pt idx="1">
                  <c:v>2013</c:v>
                </c:pt>
                <c:pt idx="2">
                  <c:v>2014</c:v>
                </c:pt>
                <c:pt idx="3">
                  <c:v>2015</c:v>
                </c:pt>
                <c:pt idx="4">
                  <c:v>2016</c:v>
                </c:pt>
                <c:pt idx="5">
                  <c:v>2017</c:v>
                </c:pt>
                <c:pt idx="6">
                  <c:v>2018</c:v>
                </c:pt>
                <c:pt idx="7">
                  <c:v>2019</c:v>
                </c:pt>
              </c:numCache>
            </c:numRef>
          </c:cat>
          <c:val>
            <c:numRef>
              <c:f>RESUMEN!$F$4:$F$11</c:f>
              <c:numCache>
                <c:formatCode>#,##0,,</c:formatCode>
                <c:ptCount val="8"/>
                <c:pt idx="0">
                  <c:v>59761683375.480003</c:v>
                </c:pt>
                <c:pt idx="1">
                  <c:v>63711106526.620018</c:v>
                </c:pt>
                <c:pt idx="2">
                  <c:v>67468212440.209984</c:v>
                </c:pt>
                <c:pt idx="3">
                  <c:v>63351043340.960411</c:v>
                </c:pt>
                <c:pt idx="4">
                  <c:v>66385451133.070297</c:v>
                </c:pt>
                <c:pt idx="5">
                  <c:v>66756661196.560219</c:v>
                </c:pt>
                <c:pt idx="6">
                  <c:v>74985713801.540237</c:v>
                </c:pt>
                <c:pt idx="7">
                  <c:v>81455878672.080185</c:v>
                </c:pt>
              </c:numCache>
            </c:numRef>
          </c:val>
          <c:smooth val="0"/>
          <c:extLst>
            <c:ext xmlns:c16="http://schemas.microsoft.com/office/drawing/2014/chart" uri="{C3380CC4-5D6E-409C-BE32-E72D297353CC}">
              <c16:uniqueId val="{00000000-7B7F-41B3-9F48-71114C6A7F54}"/>
            </c:ext>
          </c:extLst>
        </c:ser>
        <c:dLbls>
          <c:showLegendKey val="0"/>
          <c:showVal val="0"/>
          <c:showCatName val="0"/>
          <c:showSerName val="0"/>
          <c:showPercent val="0"/>
          <c:showBubbleSize val="0"/>
        </c:dLbls>
        <c:marker val="1"/>
        <c:smooth val="0"/>
        <c:axId val="667792320"/>
        <c:axId val="667795584"/>
      </c:lineChart>
      <c:lineChart>
        <c:grouping val="standard"/>
        <c:varyColors val="0"/>
        <c:ser>
          <c:idx val="0"/>
          <c:order val="0"/>
          <c:tx>
            <c:strRef>
              <c:f>RESUMEN!$AD$42</c:f>
              <c:strCache>
                <c:ptCount val="1"/>
                <c:pt idx="0">
                  <c:v>TOTAL POBLACION CON EDUCACION SUPERIOR</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RESUMEN!$B$4:$B$11</c:f>
              <c:numCache>
                <c:formatCode>General</c:formatCode>
                <c:ptCount val="8"/>
                <c:pt idx="0">
                  <c:v>2012</c:v>
                </c:pt>
                <c:pt idx="1">
                  <c:v>2013</c:v>
                </c:pt>
                <c:pt idx="2">
                  <c:v>2014</c:v>
                </c:pt>
                <c:pt idx="3">
                  <c:v>2015</c:v>
                </c:pt>
                <c:pt idx="4">
                  <c:v>2016</c:v>
                </c:pt>
                <c:pt idx="5">
                  <c:v>2017</c:v>
                </c:pt>
                <c:pt idx="6">
                  <c:v>2018</c:v>
                </c:pt>
                <c:pt idx="7">
                  <c:v>2019</c:v>
                </c:pt>
              </c:numCache>
            </c:numRef>
          </c:cat>
          <c:val>
            <c:numRef>
              <c:f>RESUMEN!$AD$43:$AD$50</c:f>
              <c:numCache>
                <c:formatCode>General</c:formatCode>
                <c:ptCount val="8"/>
                <c:pt idx="0">
                  <c:v>44866</c:v>
                </c:pt>
                <c:pt idx="1">
                  <c:v>51415</c:v>
                </c:pt>
                <c:pt idx="2">
                  <c:v>58235</c:v>
                </c:pt>
                <c:pt idx="3">
                  <c:v>61807</c:v>
                </c:pt>
                <c:pt idx="4">
                  <c:v>55258</c:v>
                </c:pt>
                <c:pt idx="5">
                  <c:v>52462</c:v>
                </c:pt>
                <c:pt idx="6">
                  <c:v>60317</c:v>
                </c:pt>
                <c:pt idx="7">
                  <c:v>60515</c:v>
                </c:pt>
              </c:numCache>
            </c:numRef>
          </c:val>
          <c:smooth val="0"/>
          <c:extLst>
            <c:ext xmlns:c16="http://schemas.microsoft.com/office/drawing/2014/chart" uri="{C3380CC4-5D6E-409C-BE32-E72D297353CC}">
              <c16:uniqueId val="{00000001-7B7F-41B3-9F48-71114C6A7F54}"/>
            </c:ext>
          </c:extLst>
        </c:ser>
        <c:dLbls>
          <c:showLegendKey val="0"/>
          <c:showVal val="0"/>
          <c:showCatName val="0"/>
          <c:showSerName val="0"/>
          <c:showPercent val="0"/>
          <c:showBubbleSize val="0"/>
        </c:dLbls>
        <c:marker val="1"/>
        <c:smooth val="0"/>
        <c:axId val="667795040"/>
        <c:axId val="667792864"/>
      </c:lineChart>
      <c:catAx>
        <c:axId val="667792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7795584"/>
        <c:crosses val="autoZero"/>
        <c:auto val="1"/>
        <c:lblAlgn val="ctr"/>
        <c:lblOffset val="100"/>
        <c:noMultiLvlLbl val="0"/>
      </c:catAx>
      <c:valAx>
        <c:axId val="667795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PE"/>
                  <a:t>MILLONES DE SOLES</a:t>
                </a:r>
              </a:p>
            </c:rich>
          </c:tx>
          <c:layout>
            <c:manualLayout>
              <c:xMode val="edge"/>
              <c:yMode val="edge"/>
              <c:x val="0.21063001019157673"/>
              <c:y val="0.1452019352281819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7792320"/>
        <c:crosses val="autoZero"/>
        <c:crossBetween val="between"/>
      </c:valAx>
      <c:valAx>
        <c:axId val="667792864"/>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PE"/>
                  <a:t>´POBLACION EDUCACION SUPERIOR</a:t>
                </a:r>
              </a:p>
            </c:rich>
          </c:tx>
          <c:layout>
            <c:manualLayout>
              <c:xMode val="edge"/>
              <c:yMode val="edge"/>
              <c:x val="0.95186131018438813"/>
              <c:y val="0.1277874234648462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7795040"/>
        <c:crosses val="max"/>
        <c:crossBetween val="between"/>
      </c:valAx>
      <c:catAx>
        <c:axId val="667795040"/>
        <c:scaling>
          <c:orientation val="minMax"/>
        </c:scaling>
        <c:delete val="1"/>
        <c:axPos val="b"/>
        <c:numFmt formatCode="General" sourceLinked="1"/>
        <c:majorTickMark val="out"/>
        <c:minorTickMark val="none"/>
        <c:tickLblPos val="nextTo"/>
        <c:crossAx val="667792864"/>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rot="5400000" vert="horz" anchor="t" anchorCtr="1"/>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67</TotalTime>
  <Pages>22</Pages>
  <Words>5789</Words>
  <Characters>32998</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Percy</dc:creator>
  <cp:lastModifiedBy>Percy</cp:lastModifiedBy>
  <cp:revision>6</cp:revision>
  <dcterms:created xsi:type="dcterms:W3CDTF">2022-08-25T23:00:00Z</dcterms:created>
  <dcterms:modified xsi:type="dcterms:W3CDTF">2022-08-26T00:07:00Z</dcterms:modified>
</cp:coreProperties>
</file>