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9FF17" w14:textId="4FEFC14F" w:rsidR="00F71AF5" w:rsidRPr="00817254" w:rsidRDefault="00F71AF5" w:rsidP="00F71AF5">
      <w:pPr>
        <w:spacing w:before="240" w:after="0"/>
        <w:jc w:val="center"/>
        <w:rPr>
          <w:rFonts w:cs="Arial"/>
          <w:b/>
          <w:bCs/>
          <w:i/>
          <w:iCs/>
          <w:sz w:val="32"/>
          <w:szCs w:val="32"/>
          <w:lang w:val="es-EC"/>
        </w:rPr>
      </w:pPr>
      <w:bookmarkStart w:id="0" w:name="_Hlk124861181"/>
      <w:bookmarkStart w:id="1" w:name="_Hlk58185306"/>
      <w:bookmarkStart w:id="2" w:name="_Hlk28242602"/>
      <w:r w:rsidRPr="00817254">
        <w:rPr>
          <w:rFonts w:cs="Arial"/>
          <w:b/>
          <w:bCs/>
          <w:i/>
          <w:iCs/>
          <w:sz w:val="32"/>
          <w:szCs w:val="32"/>
          <w:lang w:val="es-EC"/>
        </w:rPr>
        <w:t>LINEAMIENTOS ORGANIZACIONALES PARA LAS COMUNIDADES DE PRÁCTICA O DE APRENDIZAJE EN PRO DE LA COLABORACIÓN</w:t>
      </w:r>
    </w:p>
    <w:bookmarkEnd w:id="0"/>
    <w:p w14:paraId="5A461D9F" w14:textId="5469BCCE" w:rsidR="007E1F88" w:rsidRPr="00817254" w:rsidRDefault="007E1F88" w:rsidP="007E1F88">
      <w:pPr>
        <w:spacing w:after="0"/>
        <w:jc w:val="center"/>
        <w:rPr>
          <w:rFonts w:cs="Arial"/>
          <w:b/>
          <w:bCs/>
          <w:i/>
          <w:iCs/>
          <w:sz w:val="32"/>
          <w:szCs w:val="32"/>
        </w:rPr>
      </w:pPr>
    </w:p>
    <w:p w14:paraId="2062F625" w14:textId="10386790" w:rsidR="007E1F88" w:rsidRPr="00817254" w:rsidRDefault="007E1F88" w:rsidP="007E1F88">
      <w:pPr>
        <w:spacing w:after="0"/>
        <w:jc w:val="center"/>
        <w:rPr>
          <w:rFonts w:cs="Arial"/>
          <w:sz w:val="24"/>
          <w:szCs w:val="24"/>
        </w:rPr>
      </w:pPr>
    </w:p>
    <w:p w14:paraId="6F49E6B9" w14:textId="295A00F9" w:rsidR="0018757B" w:rsidRPr="00817254" w:rsidRDefault="0018757B" w:rsidP="0018757B">
      <w:pPr>
        <w:spacing w:after="0"/>
        <w:jc w:val="center"/>
        <w:rPr>
          <w:rFonts w:cs="Arial"/>
          <w:b/>
          <w:bCs/>
          <w:i/>
          <w:iCs/>
          <w:sz w:val="32"/>
          <w:szCs w:val="32"/>
          <w:lang w:val="en-US"/>
        </w:rPr>
      </w:pPr>
      <w:r w:rsidRPr="00817254">
        <w:rPr>
          <w:rFonts w:cs="Arial"/>
          <w:b/>
          <w:bCs/>
          <w:i/>
          <w:iCs/>
          <w:sz w:val="32"/>
          <w:szCs w:val="32"/>
          <w:lang w:val="en-US"/>
        </w:rPr>
        <w:t>ORGANIZATIONAL GUIDELINES FOR COLLABORATIVE LEARNING OR COMMUNITIES OF PRACTICE</w:t>
      </w:r>
    </w:p>
    <w:p w14:paraId="5EE9B7A8" w14:textId="77777777" w:rsidR="0018757B" w:rsidRPr="00817254" w:rsidRDefault="0018757B" w:rsidP="007E1F88">
      <w:pPr>
        <w:spacing w:after="0"/>
        <w:jc w:val="center"/>
        <w:rPr>
          <w:rFonts w:cs="Arial"/>
          <w:sz w:val="24"/>
          <w:szCs w:val="24"/>
          <w:lang w:val="fr-FR"/>
        </w:rPr>
      </w:pPr>
    </w:p>
    <w:p w14:paraId="61AAD1CB" w14:textId="77777777" w:rsidR="00E24021" w:rsidRPr="00817254" w:rsidRDefault="00E24021" w:rsidP="00980944">
      <w:pPr>
        <w:spacing w:after="0"/>
        <w:jc w:val="center"/>
        <w:rPr>
          <w:rFonts w:cs="Arial"/>
          <w:sz w:val="24"/>
          <w:szCs w:val="24"/>
          <w:lang w:val="en-US"/>
        </w:rPr>
      </w:pPr>
    </w:p>
    <w:p w14:paraId="5EAD9249" w14:textId="6BE023A1" w:rsidR="007E1F88" w:rsidRPr="00817254" w:rsidRDefault="0018757B" w:rsidP="007E1F88">
      <w:pPr>
        <w:spacing w:after="0"/>
        <w:jc w:val="center"/>
        <w:rPr>
          <w:rFonts w:cs="Arial"/>
          <w:bCs/>
          <w:sz w:val="24"/>
          <w:szCs w:val="24"/>
        </w:rPr>
      </w:pPr>
      <w:bookmarkStart w:id="3" w:name="_Hlk120038338"/>
      <w:bookmarkEnd w:id="1"/>
      <w:r w:rsidRPr="00817254">
        <w:rPr>
          <w:rFonts w:cs="Arial"/>
          <w:bCs/>
        </w:rPr>
        <w:t xml:space="preserve">Sandra Valbuena </w:t>
      </w:r>
      <w:proofErr w:type="spellStart"/>
      <w:r w:rsidRPr="00817254">
        <w:rPr>
          <w:rFonts w:cs="Arial"/>
          <w:bCs/>
        </w:rPr>
        <w:t>Antolínez</w:t>
      </w:r>
      <w:proofErr w:type="spellEnd"/>
      <w:r w:rsidR="007E1F88" w:rsidRPr="00817254">
        <w:rPr>
          <w:rFonts w:cs="Arial"/>
          <w:bCs/>
          <w:sz w:val="18"/>
          <w:szCs w:val="18"/>
          <w:vertAlign w:val="superscript"/>
          <w:lang w:val="en-US"/>
        </w:rPr>
        <w:footnoteReference w:id="1"/>
      </w:r>
    </w:p>
    <w:p w14:paraId="43D1E5F7" w14:textId="6F772E58" w:rsidR="007E1F88" w:rsidRPr="00817254" w:rsidRDefault="0018757B" w:rsidP="0018757B">
      <w:pPr>
        <w:tabs>
          <w:tab w:val="left" w:pos="4536"/>
        </w:tabs>
        <w:spacing w:after="0"/>
        <w:jc w:val="center"/>
        <w:rPr>
          <w:rFonts w:cs="Arial"/>
          <w:b/>
          <w:sz w:val="20"/>
          <w:szCs w:val="20"/>
        </w:rPr>
      </w:pPr>
      <w:r w:rsidRPr="00817254">
        <w:rPr>
          <w:rFonts w:cs="Arial"/>
          <w:bCs/>
          <w:sz w:val="20"/>
          <w:szCs w:val="20"/>
        </w:rPr>
        <w:t xml:space="preserve">Diana </w:t>
      </w:r>
      <w:proofErr w:type="spellStart"/>
      <w:r w:rsidRPr="00817254">
        <w:rPr>
          <w:rFonts w:cs="Arial"/>
          <w:bCs/>
          <w:sz w:val="20"/>
          <w:szCs w:val="20"/>
        </w:rPr>
        <w:t>Mayerly</w:t>
      </w:r>
      <w:proofErr w:type="spellEnd"/>
      <w:r w:rsidRPr="00817254">
        <w:rPr>
          <w:rFonts w:cs="Arial"/>
          <w:bCs/>
          <w:sz w:val="20"/>
          <w:szCs w:val="20"/>
        </w:rPr>
        <w:t xml:space="preserve"> Acero Ramírez</w:t>
      </w:r>
      <w:r w:rsidR="007E1F88" w:rsidRPr="00817254">
        <w:rPr>
          <w:rFonts w:cs="Arial"/>
          <w:bCs/>
          <w:sz w:val="18"/>
          <w:szCs w:val="18"/>
          <w:vertAlign w:val="superscript"/>
          <w:lang w:val="en-US"/>
        </w:rPr>
        <w:footnoteReference w:id="2"/>
      </w:r>
    </w:p>
    <w:bookmarkEnd w:id="3"/>
    <w:p w14:paraId="68B48A02" w14:textId="77777777" w:rsidR="007E1F88" w:rsidRPr="00817254" w:rsidRDefault="007E1F88" w:rsidP="007E1F88">
      <w:pPr>
        <w:spacing w:after="0"/>
        <w:jc w:val="center"/>
        <w:rPr>
          <w:rFonts w:cs="Arial"/>
          <w:sz w:val="24"/>
          <w:szCs w:val="24"/>
        </w:rPr>
      </w:pPr>
    </w:p>
    <w:bookmarkEnd w:id="2"/>
    <w:p w14:paraId="4A73925E" w14:textId="5E1C644F" w:rsidR="00D74E2F" w:rsidRPr="000B64A7" w:rsidRDefault="00D74E2F" w:rsidP="00D74E2F">
      <w:pPr>
        <w:autoSpaceDE w:val="0"/>
        <w:autoSpaceDN w:val="0"/>
        <w:adjustRightInd w:val="0"/>
        <w:spacing w:after="0"/>
        <w:jc w:val="center"/>
        <w:rPr>
          <w:rFonts w:cs="Arial"/>
          <w:sz w:val="18"/>
          <w:szCs w:val="18"/>
          <w:lang w:val="es-EC"/>
        </w:rPr>
      </w:pPr>
      <w:r w:rsidRPr="000B64A7">
        <w:rPr>
          <w:rFonts w:cs="Arial"/>
          <w:b/>
          <w:bCs/>
          <w:sz w:val="18"/>
          <w:szCs w:val="18"/>
          <w:lang w:val="es-EC"/>
        </w:rPr>
        <w:t xml:space="preserve">Recibido: </w:t>
      </w:r>
      <w:r w:rsidRPr="000B64A7">
        <w:rPr>
          <w:rFonts w:cs="Arial"/>
          <w:sz w:val="18"/>
          <w:szCs w:val="18"/>
          <w:lang w:val="es-EC"/>
        </w:rPr>
        <w:t>2023-0</w:t>
      </w:r>
      <w:r>
        <w:rPr>
          <w:rFonts w:cs="Arial"/>
          <w:sz w:val="18"/>
          <w:szCs w:val="18"/>
          <w:lang w:val="es-EC"/>
        </w:rPr>
        <w:t>3</w:t>
      </w:r>
      <w:r w:rsidRPr="000B64A7">
        <w:rPr>
          <w:rFonts w:cs="Arial"/>
          <w:sz w:val="18"/>
          <w:szCs w:val="18"/>
          <w:lang w:val="es-EC"/>
        </w:rPr>
        <w:t>-1</w:t>
      </w:r>
      <w:r>
        <w:rPr>
          <w:rFonts w:cs="Arial"/>
          <w:sz w:val="18"/>
          <w:szCs w:val="18"/>
          <w:lang w:val="es-EC"/>
        </w:rPr>
        <w:t>0</w:t>
      </w:r>
      <w:r w:rsidRPr="000B64A7">
        <w:rPr>
          <w:rFonts w:cs="Arial"/>
          <w:sz w:val="18"/>
          <w:szCs w:val="18"/>
          <w:lang w:val="es-EC"/>
        </w:rPr>
        <w:t xml:space="preserve"> / </w:t>
      </w:r>
      <w:r w:rsidRPr="000B64A7">
        <w:rPr>
          <w:rFonts w:cs="Arial"/>
          <w:b/>
          <w:sz w:val="18"/>
          <w:szCs w:val="18"/>
          <w:lang w:val="es-EC"/>
        </w:rPr>
        <w:t>Revisado</w:t>
      </w:r>
      <w:r w:rsidRPr="000B64A7">
        <w:rPr>
          <w:rFonts w:cs="Arial"/>
          <w:sz w:val="18"/>
          <w:szCs w:val="18"/>
          <w:lang w:val="es-EC"/>
        </w:rPr>
        <w:t>: 2023-0</w:t>
      </w:r>
      <w:r>
        <w:rPr>
          <w:rFonts w:cs="Arial"/>
          <w:sz w:val="18"/>
          <w:szCs w:val="18"/>
          <w:lang w:val="es-EC"/>
        </w:rPr>
        <w:t>4</w:t>
      </w:r>
      <w:r w:rsidRPr="000B64A7">
        <w:rPr>
          <w:rFonts w:cs="Arial"/>
          <w:sz w:val="18"/>
          <w:szCs w:val="18"/>
          <w:lang w:val="es-EC"/>
        </w:rPr>
        <w:t>-2</w:t>
      </w:r>
      <w:r>
        <w:rPr>
          <w:rFonts w:cs="Arial"/>
          <w:sz w:val="18"/>
          <w:szCs w:val="18"/>
          <w:lang w:val="es-EC"/>
        </w:rPr>
        <w:t>1</w:t>
      </w:r>
      <w:r w:rsidRPr="000B64A7">
        <w:rPr>
          <w:rFonts w:cs="Arial"/>
          <w:sz w:val="18"/>
          <w:szCs w:val="18"/>
          <w:lang w:val="es-EC"/>
        </w:rPr>
        <w:t xml:space="preserve"> / </w:t>
      </w:r>
      <w:r w:rsidRPr="000B64A7">
        <w:rPr>
          <w:rFonts w:cs="Arial"/>
          <w:b/>
          <w:bCs/>
          <w:sz w:val="18"/>
          <w:szCs w:val="18"/>
          <w:lang w:val="es-EC"/>
        </w:rPr>
        <w:t xml:space="preserve">Aceptado: </w:t>
      </w:r>
      <w:r w:rsidRPr="000B64A7">
        <w:rPr>
          <w:rFonts w:cs="Arial"/>
          <w:sz w:val="18"/>
          <w:szCs w:val="18"/>
          <w:lang w:val="es-EC"/>
        </w:rPr>
        <w:t xml:space="preserve">2023-05-15 / </w:t>
      </w:r>
      <w:r w:rsidRPr="000B64A7">
        <w:rPr>
          <w:rFonts w:cs="Arial"/>
          <w:b/>
          <w:bCs/>
          <w:sz w:val="18"/>
          <w:szCs w:val="18"/>
          <w:lang w:val="es-EC"/>
        </w:rPr>
        <w:t xml:space="preserve">Publicado: </w:t>
      </w:r>
      <w:r w:rsidRPr="000B64A7">
        <w:rPr>
          <w:rFonts w:cs="Arial"/>
          <w:sz w:val="18"/>
          <w:szCs w:val="18"/>
          <w:lang w:val="es-EC"/>
        </w:rPr>
        <w:t>2023-07-01</w:t>
      </w:r>
    </w:p>
    <w:p w14:paraId="6F4574E8" w14:textId="63E2091D" w:rsidR="000558C0" w:rsidRPr="00817254" w:rsidRDefault="000558C0" w:rsidP="007551FD">
      <w:pPr>
        <w:autoSpaceDE w:val="0"/>
        <w:autoSpaceDN w:val="0"/>
        <w:adjustRightInd w:val="0"/>
        <w:spacing w:after="0"/>
        <w:jc w:val="center"/>
        <w:rPr>
          <w:rFonts w:cs="Arial"/>
          <w:sz w:val="18"/>
          <w:szCs w:val="18"/>
          <w:lang w:val="es-EC"/>
        </w:rPr>
      </w:pPr>
    </w:p>
    <w:p w14:paraId="56A2EC61" w14:textId="71847B0B" w:rsidR="00102F7E" w:rsidRPr="00817254" w:rsidRDefault="00930C66" w:rsidP="007551FD">
      <w:pPr>
        <w:autoSpaceDE w:val="0"/>
        <w:autoSpaceDN w:val="0"/>
        <w:adjustRightInd w:val="0"/>
        <w:spacing w:after="0"/>
        <w:jc w:val="center"/>
        <w:rPr>
          <w:rFonts w:cs="Arial"/>
          <w:b/>
          <w:sz w:val="20"/>
          <w:szCs w:val="20"/>
          <w:lang w:val="es-EC"/>
        </w:rPr>
      </w:pPr>
      <w:r w:rsidRPr="00817254">
        <w:rPr>
          <w:rFonts w:cs="Arial"/>
          <w:noProof/>
          <w:lang w:val="en-US"/>
        </w:rPr>
        <mc:AlternateContent>
          <mc:Choice Requires="wps">
            <w:drawing>
              <wp:anchor distT="0" distB="0" distL="114300" distR="114300" simplePos="0" relativeHeight="251658240" behindDoc="0" locked="0" layoutInCell="1" allowOverlap="1" wp14:anchorId="1C709546" wp14:editId="0AAE9443">
                <wp:simplePos x="0" y="0"/>
                <wp:positionH relativeFrom="margin">
                  <wp:posOffset>-116541</wp:posOffset>
                </wp:positionH>
                <wp:positionV relativeFrom="paragraph">
                  <wp:posOffset>33542</wp:posOffset>
                </wp:positionV>
                <wp:extent cx="5937250" cy="623047"/>
                <wp:effectExtent l="0" t="0" r="0" b="571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623047"/>
                        </a:xfrm>
                        <a:prstGeom prst="rect">
                          <a:avLst/>
                        </a:prstGeom>
                        <a:noFill/>
                        <a:ln w="9525">
                          <a:noFill/>
                          <a:miter lim="800000"/>
                          <a:headEnd/>
                          <a:tailEnd/>
                        </a:ln>
                      </wps:spPr>
                      <wps:txbx>
                        <w:txbxContent>
                          <w:p w14:paraId="68C388CC" w14:textId="44EA542D" w:rsidR="00626685" w:rsidRPr="00F54DF6" w:rsidRDefault="00626685" w:rsidP="009362F5">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Pr>
                                <w:rFonts w:ascii="Arial" w:hAnsi="Arial" w:cs="Arial"/>
                                <w:sz w:val="18"/>
                                <w:szCs w:val="18"/>
                                <w:lang w:val="es-EC"/>
                              </w:rPr>
                              <w:t xml:space="preserve"> Valbuena-</w:t>
                            </w:r>
                            <w:proofErr w:type="spellStart"/>
                            <w:r>
                              <w:rPr>
                                <w:rFonts w:ascii="Arial" w:hAnsi="Arial" w:cs="Arial"/>
                                <w:sz w:val="18"/>
                                <w:szCs w:val="18"/>
                                <w:lang w:val="es-EC"/>
                              </w:rPr>
                              <w:t>Antolínez</w:t>
                            </w:r>
                            <w:proofErr w:type="spellEnd"/>
                            <w:r>
                              <w:rPr>
                                <w:rFonts w:ascii="Arial" w:hAnsi="Arial" w:cs="Arial"/>
                                <w:sz w:val="18"/>
                                <w:szCs w:val="18"/>
                                <w:lang w:val="es-EC"/>
                              </w:rPr>
                              <w:t xml:space="preserve">, S., Acero-Ramírez, D., </w:t>
                            </w:r>
                            <w:r w:rsidRPr="00E91B5B">
                              <w:rPr>
                                <w:rFonts w:ascii="Arial" w:hAnsi="Arial" w:cs="Arial"/>
                                <w:sz w:val="18"/>
                                <w:szCs w:val="18"/>
                              </w:rPr>
                              <w:t>(202</w:t>
                            </w:r>
                            <w:r>
                              <w:rPr>
                                <w:rFonts w:ascii="Arial" w:hAnsi="Arial" w:cs="Arial"/>
                                <w:sz w:val="18"/>
                                <w:szCs w:val="18"/>
                              </w:rPr>
                              <w:t>3</w:t>
                            </w:r>
                            <w:r w:rsidRPr="00E91B5B">
                              <w:rPr>
                                <w:rFonts w:ascii="Arial" w:hAnsi="Arial" w:cs="Arial"/>
                                <w:sz w:val="18"/>
                                <w:szCs w:val="18"/>
                              </w:rPr>
                              <w:t>).</w:t>
                            </w:r>
                            <w:r>
                              <w:rPr>
                                <w:rFonts w:ascii="Arial" w:hAnsi="Arial" w:cs="Arial"/>
                                <w:sz w:val="18"/>
                                <w:szCs w:val="18"/>
                              </w:rPr>
                              <w:t xml:space="preserve"> Lineamientos organizacionales para las comunidades de práctica o de aprendizaje en pro de la colaboración</w:t>
                            </w:r>
                            <w:r w:rsidRPr="00CE2FFB">
                              <w:rPr>
                                <w:rFonts w:ascii="Arial" w:hAnsi="Arial" w:cs="Arial"/>
                                <w:sz w:val="18"/>
                                <w:szCs w:val="18"/>
                                <w:lang w:val="es-ES"/>
                              </w:rPr>
                              <w:t xml:space="preserve">. </w:t>
                            </w:r>
                            <w:r w:rsidRPr="00883827">
                              <w:rPr>
                                <w:rFonts w:ascii="Arial" w:hAnsi="Arial" w:cs="Arial"/>
                                <w:i/>
                                <w:iCs/>
                                <w:sz w:val="18"/>
                                <w:szCs w:val="18"/>
                                <w:lang w:val="es-ES"/>
                              </w:rPr>
                              <w:t>R</w:t>
                            </w:r>
                            <w:r>
                              <w:rPr>
                                <w:rFonts w:ascii="Arial" w:hAnsi="Arial" w:cs="Arial"/>
                                <w:i/>
                                <w:iCs/>
                                <w:sz w:val="18"/>
                                <w:szCs w:val="18"/>
                                <w:lang w:val="es-ES"/>
                              </w:rPr>
                              <w:t>evista Científica R</w:t>
                            </w:r>
                            <w:r w:rsidRPr="00883827">
                              <w:rPr>
                                <w:rFonts w:ascii="Arial" w:hAnsi="Arial" w:cs="Arial"/>
                                <w:i/>
                                <w:iCs/>
                                <w:sz w:val="18"/>
                                <w:szCs w:val="18"/>
                                <w:lang w:val="es-ES"/>
                              </w:rPr>
                              <w:t>etos de la Ciencia</w:t>
                            </w:r>
                            <w:r w:rsidRPr="00CE2FFB">
                              <w:rPr>
                                <w:rFonts w:ascii="Arial" w:hAnsi="Arial" w:cs="Arial"/>
                                <w:sz w:val="18"/>
                                <w:szCs w:val="18"/>
                                <w:lang w:val="es-ES"/>
                              </w:rPr>
                              <w:t xml:space="preserve">. </w:t>
                            </w:r>
                            <w:r w:rsidRPr="00D74E2F">
                              <w:rPr>
                                <w:rFonts w:ascii="Arial" w:hAnsi="Arial" w:cs="Arial"/>
                                <w:sz w:val="18"/>
                                <w:szCs w:val="18"/>
                                <w:lang w:val="es-ES"/>
                              </w:rPr>
                              <w:t xml:space="preserve">7(15). 60-73. </w:t>
                            </w:r>
                            <w:r w:rsidR="00D74E2F" w:rsidRPr="00D74E2F">
                              <w:rPr>
                                <w:rFonts w:ascii="Arial" w:hAnsi="Arial" w:cs="Arial"/>
                                <w:sz w:val="18"/>
                                <w:szCs w:val="18"/>
                                <w:lang w:val="es-ES"/>
                              </w:rPr>
                              <w:t>https://doi.org/10.53877/rc.7.15.2023070107</w:t>
                            </w:r>
                          </w:p>
                          <w:p w14:paraId="2802B68B" w14:textId="3063EDE0" w:rsidR="00626685" w:rsidRPr="00F54DF6" w:rsidRDefault="00626685" w:rsidP="00DD7447">
                            <w:pPr>
                              <w:pStyle w:val="Standard"/>
                              <w:jc w:val="both"/>
                              <w:rPr>
                                <w:rFonts w:ascii="Arial" w:hAnsi="Arial" w:cs="Arial"/>
                                <w:sz w:val="18"/>
                                <w:szCs w:val="18"/>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09546" id="_x0000_t202" coordsize="21600,21600" o:spt="202" path="m,l,21600r21600,l21600,xe">
                <v:stroke joinstyle="miter"/>
                <v:path gradientshapeok="t" o:connecttype="rect"/>
              </v:shapetype>
              <v:shape id="Cuadro de texto 2" o:spid="_x0000_s1026" type="#_x0000_t202" style="position:absolute;left:0;text-align:left;margin-left:-9.2pt;margin-top:2.65pt;width:467.5pt;height:49.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" filled="f" stroked="f">
                <v:textbox>
                  <w:txbxContent>
                    <w:p w14:paraId="68C388CC" w14:textId="44EA542D" w:rsidR="00626685" w:rsidRPr="00F54DF6" w:rsidRDefault="00626685" w:rsidP="009362F5">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Pr>
                          <w:rFonts w:ascii="Arial" w:hAnsi="Arial" w:cs="Arial"/>
                          <w:sz w:val="18"/>
                          <w:szCs w:val="18"/>
                          <w:lang w:val="es-EC"/>
                        </w:rPr>
                        <w:t xml:space="preserve"> Valbuena-</w:t>
                      </w:r>
                      <w:proofErr w:type="spellStart"/>
                      <w:r>
                        <w:rPr>
                          <w:rFonts w:ascii="Arial" w:hAnsi="Arial" w:cs="Arial"/>
                          <w:sz w:val="18"/>
                          <w:szCs w:val="18"/>
                          <w:lang w:val="es-EC"/>
                        </w:rPr>
                        <w:t>Antolínez</w:t>
                      </w:r>
                      <w:proofErr w:type="spellEnd"/>
                      <w:r>
                        <w:rPr>
                          <w:rFonts w:ascii="Arial" w:hAnsi="Arial" w:cs="Arial"/>
                          <w:sz w:val="18"/>
                          <w:szCs w:val="18"/>
                          <w:lang w:val="es-EC"/>
                        </w:rPr>
                        <w:t xml:space="preserve">, S., Acero-Ramírez, D., </w:t>
                      </w:r>
                      <w:r w:rsidRPr="00E91B5B">
                        <w:rPr>
                          <w:rFonts w:ascii="Arial" w:hAnsi="Arial" w:cs="Arial"/>
                          <w:sz w:val="18"/>
                          <w:szCs w:val="18"/>
                        </w:rPr>
                        <w:t>(202</w:t>
                      </w:r>
                      <w:r>
                        <w:rPr>
                          <w:rFonts w:ascii="Arial" w:hAnsi="Arial" w:cs="Arial"/>
                          <w:sz w:val="18"/>
                          <w:szCs w:val="18"/>
                        </w:rPr>
                        <w:t>3</w:t>
                      </w:r>
                      <w:r w:rsidRPr="00E91B5B">
                        <w:rPr>
                          <w:rFonts w:ascii="Arial" w:hAnsi="Arial" w:cs="Arial"/>
                          <w:sz w:val="18"/>
                          <w:szCs w:val="18"/>
                        </w:rPr>
                        <w:t>).</w:t>
                      </w:r>
                      <w:r>
                        <w:rPr>
                          <w:rFonts w:ascii="Arial" w:hAnsi="Arial" w:cs="Arial"/>
                          <w:sz w:val="18"/>
                          <w:szCs w:val="18"/>
                        </w:rPr>
                        <w:t xml:space="preserve"> Lineamientos organizacionales para las comunidades de práctica o de aprendizaje en pro de la colaboración</w:t>
                      </w:r>
                      <w:r w:rsidRPr="00CE2FFB">
                        <w:rPr>
                          <w:rFonts w:ascii="Arial" w:hAnsi="Arial" w:cs="Arial"/>
                          <w:sz w:val="18"/>
                          <w:szCs w:val="18"/>
                          <w:lang w:val="es-ES"/>
                        </w:rPr>
                        <w:t xml:space="preserve">. </w:t>
                      </w:r>
                      <w:r w:rsidRPr="00883827">
                        <w:rPr>
                          <w:rFonts w:ascii="Arial" w:hAnsi="Arial" w:cs="Arial"/>
                          <w:i/>
                          <w:iCs/>
                          <w:sz w:val="18"/>
                          <w:szCs w:val="18"/>
                          <w:lang w:val="es-ES"/>
                        </w:rPr>
                        <w:t>R</w:t>
                      </w:r>
                      <w:r>
                        <w:rPr>
                          <w:rFonts w:ascii="Arial" w:hAnsi="Arial" w:cs="Arial"/>
                          <w:i/>
                          <w:iCs/>
                          <w:sz w:val="18"/>
                          <w:szCs w:val="18"/>
                          <w:lang w:val="es-ES"/>
                        </w:rPr>
                        <w:t>evista Científica R</w:t>
                      </w:r>
                      <w:r w:rsidRPr="00883827">
                        <w:rPr>
                          <w:rFonts w:ascii="Arial" w:hAnsi="Arial" w:cs="Arial"/>
                          <w:i/>
                          <w:iCs/>
                          <w:sz w:val="18"/>
                          <w:szCs w:val="18"/>
                          <w:lang w:val="es-ES"/>
                        </w:rPr>
                        <w:t>etos de la Ciencia</w:t>
                      </w:r>
                      <w:r w:rsidRPr="00CE2FFB">
                        <w:rPr>
                          <w:rFonts w:ascii="Arial" w:hAnsi="Arial" w:cs="Arial"/>
                          <w:sz w:val="18"/>
                          <w:szCs w:val="18"/>
                          <w:lang w:val="es-ES"/>
                        </w:rPr>
                        <w:t xml:space="preserve">. </w:t>
                      </w:r>
                      <w:r w:rsidRPr="00D74E2F">
                        <w:rPr>
                          <w:rFonts w:ascii="Arial" w:hAnsi="Arial" w:cs="Arial"/>
                          <w:sz w:val="18"/>
                          <w:szCs w:val="18"/>
                          <w:lang w:val="es-ES"/>
                        </w:rPr>
                        <w:t xml:space="preserve">7(15). 60-73. </w:t>
                      </w:r>
                      <w:r w:rsidR="00D74E2F" w:rsidRPr="00D74E2F">
                        <w:rPr>
                          <w:rFonts w:ascii="Arial" w:hAnsi="Arial" w:cs="Arial"/>
                          <w:sz w:val="18"/>
                          <w:szCs w:val="18"/>
                          <w:lang w:val="es-ES"/>
                        </w:rPr>
                        <w:t>https://doi.org/10.53877/rc.7.15.2023070107</w:t>
                      </w:r>
                    </w:p>
                    <w:p w14:paraId="2802B68B" w14:textId="3063EDE0" w:rsidR="00626685" w:rsidRPr="00F54DF6" w:rsidRDefault="00626685" w:rsidP="00DD7447">
                      <w:pPr>
                        <w:pStyle w:val="Standard"/>
                        <w:jc w:val="both"/>
                        <w:rPr>
                          <w:rFonts w:ascii="Arial" w:hAnsi="Arial" w:cs="Arial"/>
                          <w:sz w:val="18"/>
                          <w:szCs w:val="18"/>
                          <w:lang w:val="es-ES"/>
                        </w:rPr>
                      </w:pPr>
                    </w:p>
                  </w:txbxContent>
                </v:textbox>
                <w10:wrap anchorx="margin"/>
              </v:shape>
            </w:pict>
          </mc:Fallback>
        </mc:AlternateContent>
      </w:r>
    </w:p>
    <w:p w14:paraId="43532812" w14:textId="020741A7" w:rsidR="00102F7E" w:rsidRPr="00817254" w:rsidRDefault="00102F7E" w:rsidP="007551FD">
      <w:pPr>
        <w:autoSpaceDE w:val="0"/>
        <w:autoSpaceDN w:val="0"/>
        <w:adjustRightInd w:val="0"/>
        <w:spacing w:after="0"/>
        <w:jc w:val="center"/>
        <w:rPr>
          <w:rFonts w:cs="Arial"/>
          <w:b/>
          <w:sz w:val="20"/>
          <w:szCs w:val="20"/>
          <w:lang w:val="es-EC"/>
        </w:rPr>
      </w:pPr>
    </w:p>
    <w:p w14:paraId="6835046B" w14:textId="70F327D6" w:rsidR="001B0901" w:rsidRPr="00817254" w:rsidRDefault="001B0901" w:rsidP="00D22D07">
      <w:pPr>
        <w:spacing w:after="0"/>
        <w:rPr>
          <w:rFonts w:cs="Arial"/>
          <w:b/>
          <w:lang w:val="es-EC"/>
        </w:rPr>
      </w:pPr>
    </w:p>
    <w:p w14:paraId="68DB08D3" w14:textId="5D00F0BD" w:rsidR="00DD7447" w:rsidRPr="00817254" w:rsidRDefault="00930C66" w:rsidP="00E24021">
      <w:pPr>
        <w:spacing w:after="0"/>
        <w:rPr>
          <w:rFonts w:eastAsia="Calibri" w:cs="Arial"/>
          <w:b/>
          <w:sz w:val="24"/>
          <w:szCs w:val="24"/>
          <w:lang w:val="es-EC"/>
        </w:rPr>
      </w:pPr>
      <w:r w:rsidRPr="00817254">
        <w:rPr>
          <w:rFonts w:cs="Arial"/>
          <w:b/>
          <w:bCs/>
          <w:noProof/>
          <w:sz w:val="26"/>
          <w:szCs w:val="26"/>
          <w:lang w:val="en-US"/>
        </w:rPr>
        <mc:AlternateContent>
          <mc:Choice Requires="wps">
            <w:drawing>
              <wp:anchor distT="0" distB="0" distL="114300" distR="114300" simplePos="0" relativeHeight="251656192" behindDoc="0" locked="0" layoutInCell="1" allowOverlap="1" wp14:anchorId="61A92C6D" wp14:editId="49C833ED">
                <wp:simplePos x="0" y="0"/>
                <wp:positionH relativeFrom="margin">
                  <wp:posOffset>-22786</wp:posOffset>
                </wp:positionH>
                <wp:positionV relativeFrom="paragraph">
                  <wp:posOffset>181535</wp:posOffset>
                </wp:positionV>
                <wp:extent cx="5732069"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2D54A6" id="1 Conector recto"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8pt,14.3pt" to="449.5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" strokecolor="#bc4542 [3045]">
                <w10:wrap anchorx="margin"/>
              </v:line>
            </w:pict>
          </mc:Fallback>
        </mc:AlternateContent>
      </w:r>
    </w:p>
    <w:p w14:paraId="28914633" w14:textId="368665EC" w:rsidR="00DD7447" w:rsidRPr="00817254" w:rsidRDefault="00980944" w:rsidP="00E24021">
      <w:pPr>
        <w:tabs>
          <w:tab w:val="center" w:pos="4513"/>
        </w:tabs>
        <w:spacing w:before="240"/>
        <w:rPr>
          <w:rFonts w:eastAsia="Calibri" w:cs="Arial"/>
          <w:b/>
          <w:bCs/>
          <w:lang w:val="es-EC"/>
        </w:rPr>
      </w:pPr>
      <w:r w:rsidRPr="00817254">
        <w:rPr>
          <w:rFonts w:eastAsia="Calibri" w:cs="Arial"/>
          <w:b/>
          <w:bCs/>
          <w:lang w:val="es-EC"/>
        </w:rPr>
        <w:t>RESUMEN</w:t>
      </w:r>
      <w:r w:rsidR="001A7EBA" w:rsidRPr="00817254">
        <w:rPr>
          <w:rFonts w:eastAsia="Calibri" w:cs="Arial"/>
          <w:b/>
          <w:bCs/>
          <w:lang w:val="es-EC"/>
        </w:rPr>
        <w:tab/>
      </w:r>
    </w:p>
    <w:p w14:paraId="1C99D8F0" w14:textId="77777777" w:rsidR="00F1220F" w:rsidRPr="00817254" w:rsidRDefault="00F1220F" w:rsidP="00CA7C31">
      <w:pPr>
        <w:tabs>
          <w:tab w:val="left" w:pos="4536"/>
        </w:tabs>
        <w:spacing w:after="0"/>
        <w:rPr>
          <w:rFonts w:eastAsia="Calibri" w:cs="Arial"/>
          <w:bCs/>
        </w:rPr>
      </w:pPr>
      <w:r w:rsidRPr="00817254">
        <w:rPr>
          <w:rFonts w:eastAsia="Calibri" w:cs="Arial"/>
          <w:bCs/>
        </w:rPr>
        <w:t>El diseño de lineamientos organizacionales que permiten liderar comunidades de práctica (</w:t>
      </w:r>
      <w:proofErr w:type="spellStart"/>
      <w:r w:rsidRPr="00817254">
        <w:rPr>
          <w:rFonts w:eastAsia="Calibri" w:cs="Arial"/>
          <w:bCs/>
        </w:rPr>
        <w:t>CoP</w:t>
      </w:r>
      <w:proofErr w:type="spellEnd"/>
      <w:r w:rsidRPr="00817254">
        <w:rPr>
          <w:rFonts w:eastAsia="Calibri" w:cs="Arial"/>
          <w:bCs/>
        </w:rPr>
        <w:t xml:space="preserve">), como mecanismos de gestión del conocimiento, con el fin de coadyuvar a las estrategias, además de participar, empoderar, enriquecer el compromiso para la  innovación, el aprendizaje y el desarrollo de habilidades, mediante una revisión sistemática de la literatura, en la cual se seleccionaron 81 artículos, depurando 20 con enfoque en aspectos organizacionales, los cuales son complementados por las dimensiones pedagógicas, comunicativas y tecnológicas. La revisión por categorías permitió establecer cinco aspectos relevantes como son visión sistémica y holística de la organización, definición de apuestas transversales desde la definición planteamientos estratégicos, políticas y gobierno aplicado, seguido por el diseño de una estructura organizacional de la </w:t>
      </w:r>
      <w:proofErr w:type="spellStart"/>
      <w:r w:rsidRPr="00817254">
        <w:rPr>
          <w:rFonts w:eastAsia="Calibri" w:cs="Arial"/>
          <w:bCs/>
        </w:rPr>
        <w:t>CoP</w:t>
      </w:r>
      <w:proofErr w:type="spellEnd"/>
      <w:r w:rsidRPr="00817254">
        <w:rPr>
          <w:rFonts w:eastAsia="Calibri" w:cs="Arial"/>
          <w:bCs/>
        </w:rPr>
        <w:t xml:space="preserve">, que permitan definición de los roles y el liderazgo compartido, además de integración, comunicación y evaluación y finalmente establecer la progresión y los niveles de participación. Cada uno de estos aspectos fueron desagregados y documentados desde las buenas prácticas reportadas en la literatura y evidenciadas desde la observación al revisar los sitios web de comunidades de práctica de talla mundial o destacadas en su dominio. </w:t>
      </w:r>
    </w:p>
    <w:p w14:paraId="180562D8" w14:textId="77777777" w:rsidR="00626685" w:rsidRDefault="00626685" w:rsidP="00626685">
      <w:pPr>
        <w:tabs>
          <w:tab w:val="left" w:pos="4536"/>
        </w:tabs>
        <w:spacing w:after="0"/>
        <w:rPr>
          <w:rFonts w:eastAsia="Calibri" w:cs="Arial"/>
          <w:bCs/>
        </w:rPr>
      </w:pPr>
      <w:r>
        <w:rPr>
          <w:rFonts w:eastAsia="Calibri" w:cs="Arial"/>
          <w:b/>
          <w:lang w:val="es-EC"/>
        </w:rPr>
        <w:t xml:space="preserve">        </w:t>
      </w:r>
      <w:r w:rsidR="00980944" w:rsidRPr="00817254">
        <w:rPr>
          <w:rFonts w:eastAsia="Calibri" w:cs="Arial"/>
          <w:b/>
          <w:lang w:val="es-EC"/>
        </w:rPr>
        <w:t>Palabras clave</w:t>
      </w:r>
      <w:r w:rsidR="00980944" w:rsidRPr="00817254">
        <w:rPr>
          <w:rFonts w:eastAsia="Calibri" w:cs="Arial"/>
          <w:bCs/>
          <w:lang w:val="es-EC"/>
        </w:rPr>
        <w:t>:</w:t>
      </w:r>
      <w:r w:rsidR="00D10754" w:rsidRPr="00817254">
        <w:rPr>
          <w:rFonts w:cs="Arial"/>
          <w:lang w:val="es-EC"/>
        </w:rPr>
        <w:t xml:space="preserve"> </w:t>
      </w:r>
      <w:r w:rsidR="00CA7C31" w:rsidRPr="00817254">
        <w:rPr>
          <w:rFonts w:eastAsia="Calibri" w:cs="Arial"/>
          <w:bCs/>
        </w:rPr>
        <w:t>Aprendizaje organizacional, comunidad de aprendizaje, gestión del conoc</w:t>
      </w:r>
      <w:r>
        <w:rPr>
          <w:rFonts w:eastAsia="Calibri" w:cs="Arial"/>
          <w:bCs/>
        </w:rPr>
        <w:t>imiento, organización y método.</w:t>
      </w:r>
    </w:p>
    <w:p w14:paraId="26710EDD" w14:textId="6501FAF5" w:rsidR="00466C54" w:rsidRPr="00D74E2F" w:rsidRDefault="00980944" w:rsidP="00626685">
      <w:pPr>
        <w:tabs>
          <w:tab w:val="left" w:pos="4536"/>
        </w:tabs>
        <w:spacing w:before="240"/>
        <w:rPr>
          <w:rFonts w:eastAsia="Calibri" w:cs="Arial"/>
          <w:bCs/>
          <w:lang w:val="en-US"/>
        </w:rPr>
      </w:pPr>
      <w:r w:rsidRPr="00817254">
        <w:rPr>
          <w:rFonts w:eastAsia="Calibri" w:cs="Arial"/>
          <w:b/>
          <w:lang w:val="en-US"/>
        </w:rPr>
        <w:t>ABSTRACT</w:t>
      </w:r>
    </w:p>
    <w:p w14:paraId="6CC437AE" w14:textId="77777777" w:rsidR="00CA7C31" w:rsidRPr="00817254" w:rsidRDefault="00CA7C31" w:rsidP="00CA7C31">
      <w:pPr>
        <w:tabs>
          <w:tab w:val="left" w:pos="4536"/>
        </w:tabs>
        <w:spacing w:after="0"/>
        <w:rPr>
          <w:rFonts w:eastAsia="Calibri" w:cs="Arial"/>
          <w:bCs/>
          <w:lang w:val="en-US"/>
        </w:rPr>
      </w:pPr>
      <w:r w:rsidRPr="00817254">
        <w:rPr>
          <w:rFonts w:eastAsia="Calibri" w:cs="Arial"/>
          <w:bCs/>
          <w:lang w:val="en-US"/>
        </w:rPr>
        <w:t>The design of organizational guidelines that allow leading communities of practice (</w:t>
      </w:r>
      <w:proofErr w:type="spellStart"/>
      <w:r w:rsidRPr="00817254">
        <w:rPr>
          <w:rFonts w:eastAsia="Calibri" w:cs="Arial"/>
          <w:bCs/>
          <w:lang w:val="en-US"/>
        </w:rPr>
        <w:t>CoP</w:t>
      </w:r>
      <w:proofErr w:type="spellEnd"/>
      <w:r w:rsidRPr="00817254">
        <w:rPr>
          <w:rFonts w:eastAsia="Calibri" w:cs="Arial"/>
          <w:bCs/>
          <w:lang w:val="en-US"/>
        </w:rPr>
        <w:t xml:space="preserve">), as mechanisms for knowledge management, in order to contribute to the strategies, in addition to participating, empowering, enriching the commitment to innovation, learning and skills development, through a systematic review of the literature, in which 81 articles were selected, purifying 20 with a focus on organizational aspects, which are complemented by the pedagogical, communicative and technological dimensions. The review by categories </w:t>
      </w:r>
      <w:r w:rsidRPr="00817254">
        <w:rPr>
          <w:rFonts w:eastAsia="Calibri" w:cs="Arial"/>
          <w:bCs/>
          <w:lang w:val="en-US"/>
        </w:rPr>
        <w:lastRenderedPageBreak/>
        <w:t xml:space="preserve">made it possible to establish five relevant aspects such as systemic and holistic vision of the organization, definition of transversal commitments from the definition of strategic approaches, policies and applied governance, followed by the design of an organizational structure of the </w:t>
      </w:r>
      <w:proofErr w:type="spellStart"/>
      <w:r w:rsidRPr="00817254">
        <w:rPr>
          <w:rFonts w:eastAsia="Calibri" w:cs="Arial"/>
          <w:bCs/>
          <w:lang w:val="en-US"/>
        </w:rPr>
        <w:t>CoP</w:t>
      </w:r>
      <w:proofErr w:type="spellEnd"/>
      <w:r w:rsidRPr="00817254">
        <w:rPr>
          <w:rFonts w:eastAsia="Calibri" w:cs="Arial"/>
          <w:bCs/>
          <w:lang w:val="en-US"/>
        </w:rPr>
        <w:t xml:space="preserve">, allowing the definition of roles and shared leadership, as well as integration, communication and evaluation, and finally establishing the progression and levels of participation. Each of these aspects were disaggregated and documented from the best practices reported in the literature and evidenced from observation when reviewing the websites of world-class communities of practice or outstanding in their domain. </w:t>
      </w:r>
    </w:p>
    <w:p w14:paraId="3C77DC1C" w14:textId="4A6640EE" w:rsidR="00CA7C31" w:rsidRPr="00817254" w:rsidRDefault="00626685" w:rsidP="00CA7C31">
      <w:pPr>
        <w:tabs>
          <w:tab w:val="left" w:pos="4536"/>
        </w:tabs>
        <w:spacing w:after="0"/>
        <w:rPr>
          <w:rFonts w:eastAsia="Calibri" w:cs="Arial"/>
          <w:bCs/>
          <w:lang w:val="en-US"/>
        </w:rPr>
      </w:pPr>
      <w:r>
        <w:rPr>
          <w:rFonts w:eastAsia="Calibri" w:cs="Arial"/>
          <w:b/>
          <w:lang w:val="en-US"/>
        </w:rPr>
        <w:t xml:space="preserve">        </w:t>
      </w:r>
      <w:r w:rsidR="00980944" w:rsidRPr="00817254">
        <w:rPr>
          <w:rFonts w:eastAsia="Calibri" w:cs="Arial"/>
          <w:b/>
          <w:lang w:val="en-US"/>
        </w:rPr>
        <w:t>Keywords:</w:t>
      </w:r>
      <w:r w:rsidR="00980944" w:rsidRPr="00817254">
        <w:rPr>
          <w:rFonts w:eastAsia="Calibri" w:cs="Arial"/>
          <w:bCs/>
          <w:lang w:val="en-US"/>
        </w:rPr>
        <w:t xml:space="preserve"> </w:t>
      </w:r>
      <w:r w:rsidR="00CA7C31" w:rsidRPr="00817254">
        <w:rPr>
          <w:rFonts w:eastAsia="Calibri" w:cs="Arial"/>
          <w:bCs/>
          <w:lang w:val="en-US"/>
        </w:rPr>
        <w:t xml:space="preserve">Organizational learning, learning community, knowledge management, organization and method.  </w:t>
      </w:r>
    </w:p>
    <w:p w14:paraId="2D8E75CA" w14:textId="77777777" w:rsidR="00CA7C31" w:rsidRPr="00817254" w:rsidRDefault="00CA7C31" w:rsidP="00CA7C31">
      <w:pPr>
        <w:tabs>
          <w:tab w:val="left" w:pos="4536"/>
        </w:tabs>
        <w:spacing w:after="0"/>
        <w:rPr>
          <w:rFonts w:eastAsia="Calibri" w:cs="Arial"/>
          <w:bCs/>
          <w:lang w:val="en-US"/>
        </w:rPr>
      </w:pPr>
    </w:p>
    <w:p w14:paraId="26AF823A" w14:textId="4D49A312" w:rsidR="00DF4C79" w:rsidRPr="00817254" w:rsidRDefault="00466C54" w:rsidP="00172AF8">
      <w:pPr>
        <w:spacing w:after="0"/>
        <w:rPr>
          <w:rFonts w:eastAsia="Calibri" w:cs="Arial"/>
          <w:b/>
          <w:lang w:val="es-EC"/>
        </w:rPr>
      </w:pPr>
      <w:r w:rsidRPr="00817254">
        <w:rPr>
          <w:rFonts w:eastAsia="Calibri" w:cs="Arial"/>
          <w:b/>
          <w:lang w:val="es-EC"/>
        </w:rPr>
        <w:t>INTRODUCCIÓN</w:t>
      </w:r>
    </w:p>
    <w:p w14:paraId="1D01B778" w14:textId="77777777" w:rsidR="00CA7C31" w:rsidRPr="00817254" w:rsidRDefault="00CA7C31" w:rsidP="00CA7C31">
      <w:pPr>
        <w:spacing w:after="0"/>
        <w:ind w:firstLine="567"/>
        <w:rPr>
          <w:rFonts w:eastAsia="Calibri" w:cs="Arial"/>
          <w:b/>
          <w:lang w:val="es-EC"/>
        </w:rPr>
      </w:pPr>
    </w:p>
    <w:p w14:paraId="6666E09C" w14:textId="24199A58" w:rsidR="0011127F" w:rsidRPr="00817254" w:rsidRDefault="0011127F" w:rsidP="0011127F">
      <w:pPr>
        <w:autoSpaceDE w:val="0"/>
        <w:autoSpaceDN w:val="0"/>
        <w:adjustRightInd w:val="0"/>
        <w:spacing w:after="0"/>
        <w:rPr>
          <w:rFonts w:eastAsia="Times New Roman" w:cs="Arial"/>
          <w:bCs/>
          <w:lang w:eastAsia="es-EC"/>
        </w:rPr>
      </w:pPr>
      <w:r w:rsidRPr="00817254">
        <w:rPr>
          <w:rFonts w:eastAsia="Times New Roman" w:cs="Arial"/>
          <w:bCs/>
          <w:lang w:eastAsia="es-EC"/>
        </w:rPr>
        <w:t>El origen del concepto de Comunidades de Práctica (</w:t>
      </w:r>
      <w:proofErr w:type="spellStart"/>
      <w:r w:rsidRPr="00817254">
        <w:rPr>
          <w:rFonts w:eastAsia="Times New Roman" w:cs="Arial"/>
          <w:bCs/>
          <w:lang w:eastAsia="es-EC"/>
        </w:rPr>
        <w:t>CoP</w:t>
      </w:r>
      <w:proofErr w:type="spellEnd"/>
      <w:r w:rsidRPr="00817254">
        <w:rPr>
          <w:rFonts w:eastAsia="Times New Roman" w:cs="Arial"/>
          <w:bCs/>
          <w:lang w:eastAsia="es-EC"/>
        </w:rPr>
        <w:t xml:space="preserve">) ha sido otorgado por </w:t>
      </w:r>
      <w:proofErr w:type="spellStart"/>
      <w:r w:rsidRPr="00817254">
        <w:rPr>
          <w:rFonts w:eastAsia="Times New Roman" w:cs="Arial"/>
          <w:bCs/>
          <w:lang w:eastAsia="es-EC"/>
        </w:rPr>
        <w:t>Etienne</w:t>
      </w:r>
      <w:proofErr w:type="spellEnd"/>
      <w:r w:rsidRPr="00817254">
        <w:rPr>
          <w:rFonts w:eastAsia="Times New Roman" w:cs="Arial"/>
          <w:bCs/>
          <w:lang w:eastAsia="es-EC"/>
        </w:rPr>
        <w:t xml:space="preserve"> </w:t>
      </w:r>
      <w:proofErr w:type="spellStart"/>
      <w:r w:rsidRPr="00817254">
        <w:rPr>
          <w:rFonts w:eastAsia="Times New Roman" w:cs="Arial"/>
          <w:bCs/>
          <w:lang w:eastAsia="es-EC"/>
        </w:rPr>
        <w:t>Wenger</w:t>
      </w:r>
      <w:proofErr w:type="spellEnd"/>
      <w:r w:rsidRPr="00817254">
        <w:rPr>
          <w:rFonts w:eastAsia="Times New Roman" w:cs="Arial"/>
          <w:bCs/>
          <w:lang w:eastAsia="es-EC"/>
        </w:rPr>
        <w:t xml:space="preserve"> como un proceso de participación social que desarrolla ventajas competitivas y moviliza el conocimiento, por medio de un grupo de personas </w:t>
      </w:r>
      <w:proofErr w:type="spellStart"/>
      <w:r w:rsidRPr="00817254">
        <w:rPr>
          <w:rFonts w:eastAsia="Times New Roman" w:cs="Arial"/>
          <w:bCs/>
          <w:lang w:eastAsia="es-EC"/>
        </w:rPr>
        <w:t>autoorganizadas</w:t>
      </w:r>
      <w:proofErr w:type="spellEnd"/>
      <w:r w:rsidRPr="00817254">
        <w:rPr>
          <w:rFonts w:eastAsia="Times New Roman" w:cs="Arial"/>
          <w:bCs/>
          <w:lang w:eastAsia="es-EC"/>
        </w:rPr>
        <w:t xml:space="preserve"> que comparten una preocupación, un conjunto de problemas o de interés acerca de un tema, que profundizan su conocimiento y pericia en esta área</w:t>
      </w:r>
      <w:r w:rsidR="00E65452" w:rsidRPr="00817254">
        <w:rPr>
          <w:rFonts w:eastAsia="Times New Roman" w:cs="Arial"/>
          <w:bCs/>
          <w:lang w:eastAsia="es-EC"/>
        </w:rPr>
        <w:t>,</w:t>
      </w:r>
      <w:r w:rsidRPr="00817254">
        <w:rPr>
          <w:rFonts w:eastAsia="Times New Roman" w:cs="Arial"/>
          <w:bCs/>
          <w:lang w:eastAsia="es-EC"/>
        </w:rPr>
        <w:t xml:space="preserve"> a través de una interacción continuada, las cuales pueden ser influidas en su desarrollo por las organizaciones</w:t>
      </w:r>
      <w:r w:rsidR="00E65452" w:rsidRPr="00817254">
        <w:rPr>
          <w:rFonts w:eastAsia="Times New Roman" w:cs="Arial"/>
          <w:bCs/>
          <w:lang w:eastAsia="es-EC"/>
        </w:rPr>
        <w:t xml:space="preserve"> </w:t>
      </w:r>
      <w:sdt>
        <w:sdtPr>
          <w:rPr>
            <w:rFonts w:eastAsia="Times New Roman" w:cs="Arial"/>
            <w:bCs/>
            <w:color w:val="000000"/>
            <w:lang w:eastAsia="es-EC"/>
          </w:rPr>
          <w:tag w:val="MENDELEY_CITATION_v3_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"/>
          <w:id w:val="-969512677"/>
          <w:placeholder>
            <w:docPart w:val="7282EA442FEB48E3B2AE0175BC9BA2ED"/>
          </w:placeholder>
        </w:sdtPr>
        <w:sdtEndPr/>
        <w:sdtContent>
          <w:r w:rsidR="00F46784" w:rsidRPr="00817254">
            <w:rPr>
              <w:rFonts w:eastAsia="Times New Roman" w:cs="Arial"/>
              <w:bCs/>
              <w:color w:val="000000"/>
              <w:lang w:eastAsia="es-EC"/>
            </w:rPr>
            <w:t>(</w:t>
          </w:r>
          <w:proofErr w:type="spellStart"/>
          <w:r w:rsidR="00F46784" w:rsidRPr="00817254">
            <w:rPr>
              <w:rFonts w:eastAsia="Times New Roman" w:cs="Arial"/>
              <w:bCs/>
              <w:color w:val="000000"/>
              <w:lang w:eastAsia="es-EC"/>
            </w:rPr>
            <w:t>Wenger</w:t>
          </w:r>
          <w:proofErr w:type="spellEnd"/>
          <w:r w:rsidR="00F46784" w:rsidRPr="00817254">
            <w:rPr>
              <w:rFonts w:eastAsia="Times New Roman" w:cs="Arial"/>
              <w:bCs/>
              <w:color w:val="000000"/>
              <w:lang w:eastAsia="es-EC"/>
            </w:rPr>
            <w:t>, 1998)</w:t>
          </w:r>
        </w:sdtContent>
      </w:sdt>
      <w:r w:rsidRPr="00817254">
        <w:rPr>
          <w:rFonts w:eastAsia="Times New Roman" w:cs="Arial"/>
          <w:bCs/>
          <w:lang w:eastAsia="es-EC"/>
        </w:rPr>
        <w:t>.</w:t>
      </w:r>
    </w:p>
    <w:p w14:paraId="7C8AB026" w14:textId="1EA76E5F" w:rsidR="0011127F" w:rsidRPr="00817254" w:rsidRDefault="0011127F" w:rsidP="0011127F">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Por otra parte, las Comunidades de Práctica virtuales (</w:t>
      </w:r>
      <w:proofErr w:type="spellStart"/>
      <w:r w:rsidRPr="00817254">
        <w:rPr>
          <w:rFonts w:eastAsia="Times New Roman" w:cs="Arial"/>
          <w:bCs/>
          <w:lang w:eastAsia="es-EC"/>
        </w:rPr>
        <w:t>VCoP</w:t>
      </w:r>
      <w:proofErr w:type="spellEnd"/>
      <w:r w:rsidRPr="00817254">
        <w:rPr>
          <w:rFonts w:eastAsia="Times New Roman" w:cs="Arial"/>
          <w:bCs/>
          <w:lang w:eastAsia="es-EC"/>
        </w:rPr>
        <w:t>), se pueden definir como ecosistemas que fomentan el intercambio de experiencias, información, conocimiento y el aprendizaje colaborativo a través de sus interacciones, tienen el potencial para empoderar a sus miembros haciendo de Internet un medio de progreso personal y social (</w:t>
      </w:r>
      <w:sdt>
        <w:sdtPr>
          <w:rPr>
            <w:rFonts w:eastAsia="Times New Roman" w:cs="Arial"/>
            <w:bCs/>
            <w:lang w:eastAsia="es-EC"/>
          </w:rPr>
          <w:tag w:val="MENDELEY_CITATION_v3_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"/>
          <w:id w:val="-1744627892"/>
          <w:placeholder>
            <w:docPart w:val="3DD424BAC50A40CD9E7D9120EEA1EB05"/>
          </w:placeholder>
        </w:sdtPr>
        <w:sdtEndPr/>
        <w:sdtContent>
          <w:r w:rsidR="00F46784" w:rsidRPr="00817254">
            <w:rPr>
              <w:rFonts w:eastAsia="Times New Roman"/>
            </w:rPr>
            <w:t xml:space="preserve">(Martínez-Bravo et al., 2018; </w:t>
          </w:r>
          <w:proofErr w:type="spellStart"/>
          <w:r w:rsidR="00F46784" w:rsidRPr="00817254">
            <w:rPr>
              <w:rFonts w:eastAsia="Times New Roman"/>
            </w:rPr>
            <w:t>Ogbamichael</w:t>
          </w:r>
          <w:proofErr w:type="spellEnd"/>
          <w:r w:rsidR="00F46784" w:rsidRPr="00817254">
            <w:rPr>
              <w:rFonts w:eastAsia="Times New Roman"/>
            </w:rPr>
            <w:t xml:space="preserve"> &amp; </w:t>
          </w:r>
          <w:proofErr w:type="spellStart"/>
          <w:r w:rsidR="00F46784" w:rsidRPr="00817254">
            <w:rPr>
              <w:rFonts w:eastAsia="Times New Roman"/>
            </w:rPr>
            <w:t>Warden</w:t>
          </w:r>
          <w:proofErr w:type="spellEnd"/>
          <w:r w:rsidR="00F46784" w:rsidRPr="00817254">
            <w:rPr>
              <w:rFonts w:eastAsia="Times New Roman"/>
            </w:rPr>
            <w:t>, 2018)</w:t>
          </w:r>
        </w:sdtContent>
      </w:sdt>
      <w:r w:rsidRPr="00817254">
        <w:rPr>
          <w:rFonts w:eastAsia="Times New Roman" w:cs="Arial"/>
          <w:bCs/>
          <w:lang w:eastAsia="es-EC"/>
        </w:rPr>
        <w:t xml:space="preserve">. </w:t>
      </w:r>
    </w:p>
    <w:p w14:paraId="6F9490EC" w14:textId="77777777" w:rsidR="0011127F" w:rsidRPr="00817254" w:rsidRDefault="0011127F" w:rsidP="0011127F">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Dicha colaboración en ambientes virtuales ahora no solo corresponde a la educación, sino que incluye organizaciones de todo tipo, quienes hacen esfuerzos en el trabajo remoto y otras formas de asignación, gestionando el recurso humano, para mejorar los procesos de aprendizaje y respaldar su compromiso (</w:t>
      </w:r>
      <w:proofErr w:type="spellStart"/>
      <w:r w:rsidRPr="00817254">
        <w:rPr>
          <w:rFonts w:eastAsia="Times New Roman" w:cs="Arial"/>
          <w:bCs/>
          <w:lang w:eastAsia="es-EC"/>
        </w:rPr>
        <w:t>Manuti</w:t>
      </w:r>
      <w:proofErr w:type="spellEnd"/>
      <w:r w:rsidRPr="00817254">
        <w:rPr>
          <w:rFonts w:eastAsia="Times New Roman" w:cs="Arial"/>
          <w:bCs/>
          <w:lang w:eastAsia="es-EC"/>
        </w:rPr>
        <w:t xml:space="preserve"> et al., 2017). </w:t>
      </w:r>
    </w:p>
    <w:p w14:paraId="2F1EBFF4" w14:textId="23CAA82C" w:rsidR="00AB7F2F" w:rsidRPr="00817254" w:rsidRDefault="0011127F" w:rsidP="00AB7F2F">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 xml:space="preserve">Dada la importancia que tiene la generación de estos espacios en la construcción del conocimiento, existen múltiples inquietudes sobre el cómo gestionarlo, pues para autores como </w:t>
      </w:r>
      <w:proofErr w:type="spellStart"/>
      <w:r w:rsidRPr="00817254">
        <w:rPr>
          <w:rFonts w:eastAsia="Times New Roman" w:cs="Arial"/>
          <w:bCs/>
          <w:lang w:eastAsia="es-EC"/>
        </w:rPr>
        <w:t>Roulleaux</w:t>
      </w:r>
      <w:proofErr w:type="spellEnd"/>
      <w:r w:rsidRPr="00817254">
        <w:rPr>
          <w:rFonts w:eastAsia="Times New Roman" w:cs="Arial"/>
          <w:bCs/>
          <w:lang w:eastAsia="es-EC"/>
        </w:rPr>
        <w:t>, (2008), el problema es que no se sabe qué hacer, lo cual hace que existan nuevas demandas para los líderes de estas organizaciones y nuevas prácticas, que deben ser analizadas desde la investigación</w:t>
      </w:r>
      <w:r w:rsidR="00AB7F2F" w:rsidRPr="00817254">
        <w:rPr>
          <w:rFonts w:eastAsia="Times New Roman" w:cs="Arial"/>
          <w:bCs/>
          <w:lang w:eastAsia="es-EC"/>
        </w:rPr>
        <w:t xml:space="preserve">, con el fin de responder a los retos del entorno </w:t>
      </w:r>
      <w:sdt>
        <w:sdtPr>
          <w:rPr>
            <w:rFonts w:eastAsia="Times New Roman" w:cs="Arial"/>
            <w:bCs/>
            <w:lang w:eastAsia="es-EC"/>
          </w:rPr>
          <w:tag w:val="MENDELEY_CITATION_v3_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"/>
          <w:id w:val="1078638775"/>
          <w:placeholder>
            <w:docPart w:val="B20CF550CBCA4806997BE1819F767C90"/>
          </w:placeholder>
        </w:sdtPr>
        <w:sdtEndPr/>
        <w:sdtContent>
          <w:r w:rsidR="00F46784" w:rsidRPr="00817254">
            <w:rPr>
              <w:rFonts w:eastAsia="Times New Roman"/>
            </w:rPr>
            <w:t>(Cáceres García &amp; Cáceres Albornoz, 2022)</w:t>
          </w:r>
        </w:sdtContent>
      </w:sdt>
    </w:p>
    <w:p w14:paraId="016E4A4C" w14:textId="77777777" w:rsidR="0011127F" w:rsidRPr="00817254" w:rsidRDefault="0011127F" w:rsidP="0011127F">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La búsqueda no solo se ha realizado en la academia, sino que existen evidencia de la participación de los diversos sectores como salud (</w:t>
      </w:r>
      <w:proofErr w:type="spellStart"/>
      <w:r w:rsidRPr="00817254">
        <w:rPr>
          <w:rFonts w:eastAsia="Times New Roman" w:cs="Arial"/>
          <w:bCs/>
          <w:lang w:eastAsia="es-EC"/>
        </w:rPr>
        <w:t>Awah</w:t>
      </w:r>
      <w:proofErr w:type="spellEnd"/>
      <w:r w:rsidRPr="00817254">
        <w:rPr>
          <w:rFonts w:eastAsia="Times New Roman" w:cs="Arial"/>
          <w:bCs/>
          <w:lang w:eastAsia="es-EC"/>
        </w:rPr>
        <w:t xml:space="preserve"> et al., 2018), Pymes (</w:t>
      </w:r>
      <w:proofErr w:type="spellStart"/>
      <w:r w:rsidRPr="00817254">
        <w:rPr>
          <w:rFonts w:eastAsia="Times New Roman" w:cs="Arial"/>
          <w:bCs/>
          <w:lang w:eastAsia="es-EC"/>
        </w:rPr>
        <w:t>Christensen</w:t>
      </w:r>
      <w:proofErr w:type="spellEnd"/>
      <w:r w:rsidRPr="00817254">
        <w:rPr>
          <w:rFonts w:eastAsia="Times New Roman" w:cs="Arial"/>
          <w:bCs/>
          <w:lang w:eastAsia="es-EC"/>
        </w:rPr>
        <w:t>, 2018), comunitario (</w:t>
      </w:r>
      <w:proofErr w:type="spellStart"/>
      <w:r w:rsidRPr="00817254">
        <w:rPr>
          <w:rFonts w:eastAsia="Times New Roman" w:cs="Arial"/>
          <w:bCs/>
          <w:lang w:eastAsia="es-EC"/>
        </w:rPr>
        <w:t>Barnett</w:t>
      </w:r>
      <w:proofErr w:type="spellEnd"/>
      <w:r w:rsidRPr="00817254">
        <w:rPr>
          <w:rFonts w:eastAsia="Times New Roman" w:cs="Arial"/>
          <w:bCs/>
          <w:lang w:eastAsia="es-EC"/>
        </w:rPr>
        <w:t xml:space="preserve"> et al., 2016), industria (</w:t>
      </w:r>
      <w:proofErr w:type="spellStart"/>
      <w:r w:rsidRPr="00817254">
        <w:rPr>
          <w:rFonts w:eastAsia="Times New Roman" w:cs="Arial"/>
          <w:bCs/>
          <w:lang w:eastAsia="es-EC"/>
        </w:rPr>
        <w:t>Waris</w:t>
      </w:r>
      <w:proofErr w:type="spellEnd"/>
      <w:r w:rsidRPr="00817254">
        <w:rPr>
          <w:rFonts w:eastAsia="Times New Roman" w:cs="Arial"/>
          <w:bCs/>
          <w:lang w:eastAsia="es-EC"/>
        </w:rPr>
        <w:t xml:space="preserve"> et al., 2019) y público (</w:t>
      </w:r>
      <w:proofErr w:type="spellStart"/>
      <w:r w:rsidRPr="00817254">
        <w:rPr>
          <w:rFonts w:eastAsia="Times New Roman" w:cs="Arial"/>
          <w:bCs/>
          <w:lang w:eastAsia="es-EC"/>
        </w:rPr>
        <w:t>Mailloux</w:t>
      </w:r>
      <w:proofErr w:type="spellEnd"/>
      <w:r w:rsidRPr="00817254">
        <w:rPr>
          <w:rFonts w:eastAsia="Times New Roman" w:cs="Arial"/>
          <w:bCs/>
          <w:lang w:eastAsia="es-EC"/>
        </w:rPr>
        <w:t xml:space="preserve"> &amp; </w:t>
      </w:r>
      <w:proofErr w:type="spellStart"/>
      <w:r w:rsidRPr="00817254">
        <w:rPr>
          <w:rFonts w:eastAsia="Times New Roman" w:cs="Arial"/>
          <w:bCs/>
          <w:lang w:eastAsia="es-EC"/>
        </w:rPr>
        <w:t>Lacharité</w:t>
      </w:r>
      <w:proofErr w:type="spellEnd"/>
      <w:r w:rsidRPr="00817254">
        <w:rPr>
          <w:rFonts w:eastAsia="Times New Roman" w:cs="Arial"/>
          <w:bCs/>
          <w:lang w:eastAsia="es-EC"/>
        </w:rPr>
        <w:t xml:space="preserve">, 2020), que abordan la estrategia de las </w:t>
      </w:r>
      <w:proofErr w:type="spellStart"/>
      <w:r w:rsidRPr="00817254">
        <w:rPr>
          <w:rFonts w:eastAsia="Times New Roman" w:cs="Arial"/>
          <w:bCs/>
          <w:lang w:eastAsia="es-EC"/>
        </w:rPr>
        <w:t>CoP</w:t>
      </w:r>
      <w:proofErr w:type="spellEnd"/>
      <w:r w:rsidRPr="00817254">
        <w:rPr>
          <w:rFonts w:eastAsia="Times New Roman" w:cs="Arial"/>
          <w:bCs/>
          <w:lang w:eastAsia="es-EC"/>
        </w:rPr>
        <w:t xml:space="preserve"> y las </w:t>
      </w:r>
      <w:proofErr w:type="spellStart"/>
      <w:r w:rsidRPr="00817254">
        <w:rPr>
          <w:rFonts w:eastAsia="Times New Roman" w:cs="Arial"/>
          <w:bCs/>
          <w:lang w:eastAsia="es-EC"/>
        </w:rPr>
        <w:t>VCoP</w:t>
      </w:r>
      <w:proofErr w:type="spellEnd"/>
      <w:r w:rsidRPr="00817254">
        <w:rPr>
          <w:rFonts w:eastAsia="Times New Roman" w:cs="Arial"/>
          <w:bCs/>
          <w:lang w:eastAsia="es-EC"/>
        </w:rPr>
        <w:t>, como un mecanismo de gestión del conocimiento. Por lo tanto, este componente de la investigación pretende realizar revisión de la literatura para construir lineamientos organizacionales y las implicaciones de gestión aplicables a las comunidades de práctica, redes o trabajo colaborativo en miras de los ambientes virtuales.</w:t>
      </w:r>
    </w:p>
    <w:p w14:paraId="19482D1B" w14:textId="77777777" w:rsidR="009A2349" w:rsidRPr="00817254" w:rsidRDefault="005B6951" w:rsidP="009A2349">
      <w:pPr>
        <w:spacing w:before="240"/>
        <w:rPr>
          <w:rFonts w:eastAsia="Calibri" w:cs="Arial"/>
          <w:lang w:val="es-EC"/>
        </w:rPr>
      </w:pPr>
      <w:r w:rsidRPr="00817254">
        <w:rPr>
          <w:rFonts w:eastAsia="Calibri" w:cs="Arial"/>
          <w:b/>
          <w:bCs/>
          <w:lang w:val="es-EC"/>
        </w:rPr>
        <w:t>METODOLOGÍA</w:t>
      </w:r>
    </w:p>
    <w:p w14:paraId="60FBB511" w14:textId="0C12708F" w:rsidR="0011127F" w:rsidRPr="00817254" w:rsidRDefault="0011127F" w:rsidP="0011127F">
      <w:pPr>
        <w:autoSpaceDE w:val="0"/>
        <w:autoSpaceDN w:val="0"/>
        <w:adjustRightInd w:val="0"/>
        <w:spacing w:after="0"/>
        <w:rPr>
          <w:rFonts w:eastAsia="Times New Roman" w:cs="Arial"/>
          <w:bCs/>
          <w:lang w:eastAsia="es-EC"/>
        </w:rPr>
      </w:pPr>
      <w:r w:rsidRPr="00817254">
        <w:rPr>
          <w:rFonts w:eastAsia="Times New Roman" w:cs="Arial"/>
          <w:bCs/>
          <w:lang w:eastAsia="es-EC"/>
        </w:rPr>
        <w:t xml:space="preserve">Para la elaboración de la revisión sistemática de la literatura, se realizó la búsqueda en las bases de datos desde las palabras claves como </w:t>
      </w:r>
      <w:proofErr w:type="spellStart"/>
      <w:r w:rsidRPr="00817254">
        <w:rPr>
          <w:rFonts w:eastAsia="Times New Roman" w:cs="Arial"/>
          <w:bCs/>
          <w:lang w:eastAsia="es-EC"/>
        </w:rPr>
        <w:t>community</w:t>
      </w:r>
      <w:proofErr w:type="spellEnd"/>
      <w:r w:rsidRPr="00817254">
        <w:rPr>
          <w:rFonts w:eastAsia="Times New Roman" w:cs="Arial"/>
          <w:bCs/>
          <w:lang w:eastAsia="es-EC"/>
        </w:rPr>
        <w:t xml:space="preserve"> of </w:t>
      </w:r>
      <w:proofErr w:type="spellStart"/>
      <w:r w:rsidRPr="00817254">
        <w:rPr>
          <w:rFonts w:eastAsia="Times New Roman" w:cs="Arial"/>
          <w:bCs/>
          <w:lang w:eastAsia="es-EC"/>
        </w:rPr>
        <w:t>practice</w:t>
      </w:r>
      <w:proofErr w:type="spellEnd"/>
      <w:r w:rsidRPr="00817254">
        <w:rPr>
          <w:rFonts w:eastAsia="Times New Roman" w:cs="Arial"/>
          <w:bCs/>
          <w:lang w:eastAsia="es-EC"/>
        </w:rPr>
        <w:t xml:space="preserve"> and </w:t>
      </w:r>
      <w:proofErr w:type="spellStart"/>
      <w:r w:rsidRPr="00817254">
        <w:rPr>
          <w:rFonts w:eastAsia="Times New Roman" w:cs="Arial"/>
          <w:bCs/>
          <w:lang w:eastAsia="es-EC"/>
        </w:rPr>
        <w:t>knowledge</w:t>
      </w:r>
      <w:proofErr w:type="spellEnd"/>
      <w:r w:rsidRPr="00817254">
        <w:rPr>
          <w:rFonts w:eastAsia="Times New Roman" w:cs="Arial"/>
          <w:bCs/>
          <w:lang w:eastAsia="es-EC"/>
        </w:rPr>
        <w:t xml:space="preserve"> </w:t>
      </w:r>
      <w:proofErr w:type="spellStart"/>
      <w:r w:rsidRPr="00817254">
        <w:rPr>
          <w:rFonts w:eastAsia="Times New Roman" w:cs="Arial"/>
          <w:bCs/>
          <w:lang w:eastAsia="es-EC"/>
        </w:rPr>
        <w:t>management</w:t>
      </w:r>
      <w:proofErr w:type="spellEnd"/>
      <w:r w:rsidRPr="00817254">
        <w:rPr>
          <w:rFonts w:eastAsia="Times New Roman" w:cs="Arial"/>
          <w:bCs/>
          <w:lang w:eastAsia="es-EC"/>
        </w:rPr>
        <w:t xml:space="preserve"> en las bases de datos de EBSCO </w:t>
      </w:r>
      <w:proofErr w:type="spellStart"/>
      <w:r w:rsidRPr="00817254">
        <w:rPr>
          <w:rFonts w:eastAsia="Times New Roman" w:cs="Arial"/>
          <w:bCs/>
          <w:lang w:eastAsia="es-EC"/>
        </w:rPr>
        <w:t>Academic</w:t>
      </w:r>
      <w:proofErr w:type="spellEnd"/>
      <w:r w:rsidRPr="00817254">
        <w:rPr>
          <w:rFonts w:eastAsia="Times New Roman" w:cs="Arial"/>
          <w:bCs/>
          <w:lang w:eastAsia="es-EC"/>
        </w:rPr>
        <w:t xml:space="preserve"> </w:t>
      </w:r>
      <w:proofErr w:type="spellStart"/>
      <w:r w:rsidRPr="00817254">
        <w:rPr>
          <w:rFonts w:eastAsia="Times New Roman" w:cs="Arial"/>
          <w:bCs/>
          <w:lang w:eastAsia="es-EC"/>
        </w:rPr>
        <w:t>Source</w:t>
      </w:r>
      <w:proofErr w:type="spellEnd"/>
      <w:r w:rsidRPr="00817254">
        <w:rPr>
          <w:rFonts w:eastAsia="Times New Roman" w:cs="Arial"/>
          <w:bCs/>
          <w:lang w:eastAsia="es-EC"/>
        </w:rPr>
        <w:t xml:space="preserve">, EBSCO Business, EBSCO </w:t>
      </w:r>
      <w:proofErr w:type="spellStart"/>
      <w:r w:rsidRPr="00817254">
        <w:rPr>
          <w:rFonts w:eastAsia="Times New Roman" w:cs="Arial"/>
          <w:bCs/>
          <w:lang w:eastAsia="es-EC"/>
        </w:rPr>
        <w:t>Education</w:t>
      </w:r>
      <w:proofErr w:type="spellEnd"/>
      <w:r w:rsidRPr="00817254">
        <w:rPr>
          <w:rFonts w:eastAsia="Times New Roman" w:cs="Arial"/>
          <w:bCs/>
          <w:lang w:eastAsia="es-EC"/>
        </w:rPr>
        <w:t xml:space="preserve">, </w:t>
      </w:r>
      <w:proofErr w:type="spellStart"/>
      <w:r w:rsidRPr="00817254">
        <w:rPr>
          <w:rFonts w:eastAsia="Times New Roman" w:cs="Arial"/>
          <w:bCs/>
          <w:lang w:eastAsia="es-EC"/>
        </w:rPr>
        <w:t>Proquest</w:t>
      </w:r>
      <w:proofErr w:type="spellEnd"/>
      <w:r w:rsidRPr="00817254">
        <w:rPr>
          <w:rFonts w:eastAsia="Times New Roman" w:cs="Arial"/>
          <w:bCs/>
          <w:lang w:eastAsia="es-EC"/>
        </w:rPr>
        <w:t xml:space="preserve">, </w:t>
      </w:r>
      <w:proofErr w:type="spellStart"/>
      <w:r w:rsidRPr="00817254">
        <w:rPr>
          <w:rFonts w:eastAsia="Times New Roman" w:cs="Arial"/>
          <w:bCs/>
          <w:lang w:eastAsia="es-EC"/>
        </w:rPr>
        <w:t>Proquest</w:t>
      </w:r>
      <w:proofErr w:type="spellEnd"/>
      <w:r w:rsidRPr="00817254">
        <w:rPr>
          <w:rFonts w:eastAsia="Times New Roman" w:cs="Arial"/>
          <w:bCs/>
          <w:lang w:eastAsia="es-EC"/>
        </w:rPr>
        <w:t xml:space="preserve"> </w:t>
      </w:r>
      <w:proofErr w:type="spellStart"/>
      <w:r w:rsidRPr="00817254">
        <w:rPr>
          <w:rFonts w:eastAsia="Times New Roman" w:cs="Arial"/>
          <w:bCs/>
          <w:lang w:eastAsia="es-EC"/>
        </w:rPr>
        <w:t>Latin</w:t>
      </w:r>
      <w:proofErr w:type="spellEnd"/>
      <w:r w:rsidRPr="00817254">
        <w:rPr>
          <w:rFonts w:eastAsia="Times New Roman" w:cs="Arial"/>
          <w:bCs/>
          <w:lang w:eastAsia="es-EC"/>
        </w:rPr>
        <w:t xml:space="preserve">, </w:t>
      </w:r>
      <w:proofErr w:type="spellStart"/>
      <w:r w:rsidRPr="00817254">
        <w:rPr>
          <w:rFonts w:eastAsia="Times New Roman" w:cs="Arial"/>
          <w:bCs/>
          <w:lang w:eastAsia="es-EC"/>
        </w:rPr>
        <w:t>Dialnet</w:t>
      </w:r>
      <w:proofErr w:type="spellEnd"/>
      <w:r w:rsidRPr="00817254">
        <w:rPr>
          <w:rFonts w:eastAsia="Times New Roman" w:cs="Arial"/>
          <w:bCs/>
          <w:lang w:eastAsia="es-EC"/>
        </w:rPr>
        <w:t xml:space="preserve"> y </w:t>
      </w:r>
      <w:proofErr w:type="spellStart"/>
      <w:r w:rsidRPr="00817254">
        <w:rPr>
          <w:rFonts w:eastAsia="Times New Roman" w:cs="Arial"/>
          <w:bCs/>
          <w:lang w:eastAsia="es-EC"/>
        </w:rPr>
        <w:t>Scielo</w:t>
      </w:r>
      <w:proofErr w:type="spellEnd"/>
      <w:r w:rsidRPr="00817254">
        <w:rPr>
          <w:rFonts w:eastAsia="Times New Roman" w:cs="Arial"/>
          <w:bCs/>
          <w:lang w:eastAsia="es-EC"/>
        </w:rPr>
        <w:t xml:space="preserve">. Posterior a la organización de la información siguiendo los parámetros dispuestos por los beneficios de </w:t>
      </w:r>
      <w:proofErr w:type="spellStart"/>
      <w:r w:rsidRPr="00817254">
        <w:rPr>
          <w:rFonts w:eastAsia="Times New Roman" w:cs="Arial"/>
          <w:bCs/>
          <w:lang w:eastAsia="es-EC"/>
        </w:rPr>
        <w:t>EBMgt-evidence</w:t>
      </w:r>
      <w:proofErr w:type="spellEnd"/>
      <w:r w:rsidRPr="00817254">
        <w:rPr>
          <w:rFonts w:eastAsia="Times New Roman" w:cs="Arial"/>
          <w:bCs/>
          <w:lang w:eastAsia="es-EC"/>
        </w:rPr>
        <w:t xml:space="preserve"> </w:t>
      </w:r>
      <w:proofErr w:type="spellStart"/>
      <w:r w:rsidRPr="00817254">
        <w:rPr>
          <w:rFonts w:eastAsia="Times New Roman" w:cs="Arial"/>
          <w:bCs/>
          <w:lang w:eastAsia="es-EC"/>
        </w:rPr>
        <w:t>based</w:t>
      </w:r>
      <w:proofErr w:type="spellEnd"/>
      <w:r w:rsidRPr="00817254">
        <w:rPr>
          <w:rFonts w:eastAsia="Times New Roman" w:cs="Arial"/>
          <w:bCs/>
          <w:lang w:eastAsia="es-EC"/>
        </w:rPr>
        <w:t xml:space="preserve"> </w:t>
      </w:r>
      <w:proofErr w:type="spellStart"/>
      <w:r w:rsidRPr="00817254">
        <w:rPr>
          <w:rFonts w:eastAsia="Times New Roman" w:cs="Arial"/>
          <w:bCs/>
          <w:lang w:eastAsia="es-EC"/>
        </w:rPr>
        <w:t>management</w:t>
      </w:r>
      <w:proofErr w:type="spellEnd"/>
      <w:r w:rsidRPr="00817254">
        <w:rPr>
          <w:rFonts w:eastAsia="Times New Roman" w:cs="Arial"/>
          <w:bCs/>
          <w:lang w:eastAsia="es-EC"/>
        </w:rPr>
        <w:t xml:space="preserve"> (</w:t>
      </w:r>
      <w:proofErr w:type="spellStart"/>
      <w:r w:rsidRPr="00817254">
        <w:rPr>
          <w:rFonts w:eastAsia="Times New Roman" w:cs="Arial"/>
          <w:bCs/>
          <w:lang w:eastAsia="es-EC"/>
        </w:rPr>
        <w:t>Chicaíza</w:t>
      </w:r>
      <w:proofErr w:type="spellEnd"/>
      <w:r w:rsidRPr="00817254">
        <w:rPr>
          <w:rFonts w:eastAsia="Times New Roman" w:cs="Arial"/>
          <w:bCs/>
          <w:lang w:eastAsia="es-EC"/>
        </w:rPr>
        <w:t xml:space="preserve">-Becerra et al., 2017), se realizó el análisis de 81 artículos seleccionados por el posible aporte que realizan a las dimensiones de la organización, comunicación, pedagógica y tecnológica; seleccionado 20 artículos que hacen reporte de la </w:t>
      </w:r>
      <w:r w:rsidRPr="00817254">
        <w:rPr>
          <w:rFonts w:eastAsia="Times New Roman" w:cs="Arial"/>
          <w:bCs/>
          <w:lang w:eastAsia="es-EC"/>
        </w:rPr>
        <w:lastRenderedPageBreak/>
        <w:t>experiencia desde algún sector, en relación con lo organizacional y métodos colaborativos en ambientes virtuales,  como se relaciona a continuación:</w:t>
      </w:r>
    </w:p>
    <w:p w14:paraId="3A74CD14" w14:textId="77777777" w:rsidR="0011127F" w:rsidRPr="00817254" w:rsidRDefault="0011127F" w:rsidP="0011127F">
      <w:pPr>
        <w:autoSpaceDE w:val="0"/>
        <w:autoSpaceDN w:val="0"/>
        <w:adjustRightInd w:val="0"/>
        <w:spacing w:after="0"/>
        <w:rPr>
          <w:rFonts w:eastAsia="Times New Roman" w:cs="Arial"/>
          <w:bCs/>
          <w:sz w:val="20"/>
          <w:szCs w:val="20"/>
          <w:lang w:eastAsia="es-EC"/>
        </w:rPr>
      </w:pPr>
    </w:p>
    <w:p w14:paraId="2306B10E" w14:textId="3CD83D9C" w:rsidR="00626685" w:rsidRDefault="0011127F" w:rsidP="00172AF8">
      <w:pPr>
        <w:pBdr>
          <w:top w:val="nil"/>
          <w:left w:val="nil"/>
          <w:bottom w:val="nil"/>
          <w:right w:val="nil"/>
          <w:between w:val="nil"/>
        </w:pBdr>
        <w:spacing w:after="0"/>
        <w:rPr>
          <w:rFonts w:ascii="Times New Roman" w:eastAsia="Times New Roman" w:hAnsi="Times New Roman" w:cs="Times New Roman"/>
          <w:b/>
          <w:color w:val="000000"/>
          <w:sz w:val="20"/>
          <w:szCs w:val="20"/>
        </w:rPr>
      </w:pPr>
      <w:r w:rsidRPr="00817254">
        <w:rPr>
          <w:rFonts w:eastAsia="Times New Roman" w:cs="Arial"/>
          <w:b/>
          <w:color w:val="000000"/>
          <w:sz w:val="20"/>
          <w:szCs w:val="20"/>
        </w:rPr>
        <w:t>Tabla 1</w:t>
      </w:r>
      <w:r w:rsidRPr="00817254">
        <w:rPr>
          <w:rFonts w:ascii="Times New Roman" w:eastAsia="Times New Roman" w:hAnsi="Times New Roman" w:cs="Times New Roman"/>
          <w:b/>
          <w:color w:val="000000"/>
          <w:sz w:val="20"/>
          <w:szCs w:val="20"/>
        </w:rPr>
        <w:t xml:space="preserve"> </w:t>
      </w:r>
    </w:p>
    <w:p w14:paraId="409DD882" w14:textId="3E0D65C9" w:rsidR="0011127F" w:rsidRPr="00626685" w:rsidRDefault="0011127F" w:rsidP="00172AF8">
      <w:pPr>
        <w:pBdr>
          <w:top w:val="nil"/>
          <w:left w:val="nil"/>
          <w:bottom w:val="nil"/>
          <w:right w:val="nil"/>
          <w:between w:val="nil"/>
        </w:pBdr>
        <w:spacing w:after="0"/>
        <w:rPr>
          <w:rFonts w:eastAsia="Times New Roman" w:cs="Arial"/>
          <w:bCs/>
          <w:i/>
          <w:sz w:val="20"/>
          <w:szCs w:val="20"/>
          <w:lang w:eastAsia="es-EC"/>
        </w:rPr>
      </w:pPr>
      <w:r w:rsidRPr="00626685">
        <w:rPr>
          <w:rFonts w:eastAsia="Times New Roman" w:cs="Arial"/>
          <w:bCs/>
          <w:i/>
          <w:sz w:val="20"/>
          <w:szCs w:val="20"/>
          <w:lang w:eastAsia="es-EC"/>
        </w:rPr>
        <w:t>Sectores a los que pertenecen las Comunidades de Práctica (</w:t>
      </w:r>
      <w:proofErr w:type="spellStart"/>
      <w:r w:rsidRPr="00626685">
        <w:rPr>
          <w:rFonts w:eastAsia="Times New Roman" w:cs="Arial"/>
          <w:bCs/>
          <w:i/>
          <w:sz w:val="20"/>
          <w:szCs w:val="20"/>
          <w:lang w:eastAsia="es-EC"/>
        </w:rPr>
        <w:t>CoP</w:t>
      </w:r>
      <w:proofErr w:type="spellEnd"/>
      <w:r w:rsidRPr="00626685">
        <w:rPr>
          <w:rFonts w:eastAsia="Times New Roman" w:cs="Arial"/>
          <w:bCs/>
          <w:i/>
          <w:sz w:val="20"/>
          <w:szCs w:val="20"/>
          <w:lang w:eastAsia="es-EC"/>
        </w:rPr>
        <w:t>) analizadas desde la literatura</w:t>
      </w:r>
    </w:p>
    <w:tbl>
      <w:tblPr>
        <w:tblStyle w:val="Tablanormal2"/>
        <w:tblW w:w="9350" w:type="dxa"/>
        <w:tblLayout w:type="fixed"/>
        <w:tblLook w:val="0400" w:firstRow="0" w:lastRow="0" w:firstColumn="0" w:lastColumn="0" w:noHBand="0" w:noVBand="1"/>
      </w:tblPr>
      <w:tblGrid>
        <w:gridCol w:w="1801"/>
        <w:gridCol w:w="7549"/>
      </w:tblGrid>
      <w:tr w:rsidR="0011127F" w:rsidRPr="00817254" w14:paraId="22456C78" w14:textId="77777777" w:rsidTr="00E65452">
        <w:trPr>
          <w:cnfStyle w:val="000000100000" w:firstRow="0" w:lastRow="0" w:firstColumn="0" w:lastColumn="0" w:oddVBand="0" w:evenVBand="0" w:oddHBand="1" w:evenHBand="0" w:firstRowFirstColumn="0" w:firstRowLastColumn="0" w:lastRowFirstColumn="0" w:lastRowLastColumn="0"/>
        </w:trPr>
        <w:tc>
          <w:tcPr>
            <w:tcW w:w="1801" w:type="dxa"/>
          </w:tcPr>
          <w:p w14:paraId="0287DBFB" w14:textId="77777777" w:rsidR="0011127F" w:rsidRPr="00817254" w:rsidRDefault="0011127F" w:rsidP="00E65452">
            <w:pPr>
              <w:jc w:val="center"/>
              <w:rPr>
                <w:rFonts w:eastAsia="Times New Roman" w:cs="Arial"/>
                <w:b/>
                <w:sz w:val="20"/>
                <w:szCs w:val="20"/>
              </w:rPr>
            </w:pPr>
            <w:r w:rsidRPr="00817254">
              <w:rPr>
                <w:rFonts w:eastAsia="Times New Roman" w:cs="Arial"/>
                <w:b/>
                <w:sz w:val="20"/>
                <w:szCs w:val="20"/>
              </w:rPr>
              <w:t>Acciones</w:t>
            </w:r>
          </w:p>
        </w:tc>
        <w:tc>
          <w:tcPr>
            <w:tcW w:w="7549" w:type="dxa"/>
          </w:tcPr>
          <w:p w14:paraId="310EDD1D" w14:textId="77777777" w:rsidR="0011127F" w:rsidRPr="00817254" w:rsidRDefault="0011127F" w:rsidP="00E65452">
            <w:pPr>
              <w:jc w:val="center"/>
              <w:rPr>
                <w:rFonts w:eastAsia="Times New Roman" w:cs="Arial"/>
                <w:b/>
                <w:sz w:val="20"/>
                <w:szCs w:val="20"/>
              </w:rPr>
            </w:pPr>
            <w:r w:rsidRPr="00817254">
              <w:rPr>
                <w:rFonts w:eastAsia="Times New Roman" w:cs="Arial"/>
                <w:b/>
                <w:sz w:val="20"/>
                <w:szCs w:val="20"/>
              </w:rPr>
              <w:t>Autores</w:t>
            </w:r>
          </w:p>
        </w:tc>
      </w:tr>
      <w:tr w:rsidR="0011127F" w:rsidRPr="00817254" w14:paraId="282A488F" w14:textId="77777777" w:rsidTr="00E65452">
        <w:tc>
          <w:tcPr>
            <w:tcW w:w="1801" w:type="dxa"/>
          </w:tcPr>
          <w:p w14:paraId="5C5EF449" w14:textId="77777777" w:rsidR="0011127F" w:rsidRPr="00817254" w:rsidRDefault="0011127F" w:rsidP="00E65452">
            <w:pPr>
              <w:rPr>
                <w:rFonts w:eastAsia="Times New Roman" w:cs="Arial"/>
                <w:sz w:val="20"/>
                <w:szCs w:val="20"/>
              </w:rPr>
            </w:pPr>
            <w:r w:rsidRPr="00817254">
              <w:rPr>
                <w:rFonts w:eastAsia="Times New Roman" w:cs="Arial"/>
                <w:sz w:val="20"/>
                <w:szCs w:val="20"/>
              </w:rPr>
              <w:t>Educación</w:t>
            </w:r>
          </w:p>
        </w:tc>
        <w:tc>
          <w:tcPr>
            <w:tcW w:w="7549" w:type="dxa"/>
          </w:tcPr>
          <w:p w14:paraId="41CE734E" w14:textId="77777777" w:rsidR="0011127F" w:rsidRPr="00817254" w:rsidRDefault="0011127F" w:rsidP="00E65452">
            <w:pPr>
              <w:rPr>
                <w:rFonts w:eastAsia="Times New Roman" w:cs="Arial"/>
                <w:sz w:val="20"/>
                <w:szCs w:val="20"/>
              </w:rPr>
            </w:pPr>
            <w:r w:rsidRPr="00817254">
              <w:rPr>
                <w:rFonts w:eastAsia="Times New Roman" w:cs="Arial"/>
                <w:color w:val="000000"/>
                <w:sz w:val="20"/>
                <w:szCs w:val="20"/>
              </w:rPr>
              <w:t xml:space="preserve">Cantero et al., 2018; de Souza Machado et al., 2020; </w:t>
            </w:r>
            <w:proofErr w:type="spellStart"/>
            <w:r w:rsidRPr="00817254">
              <w:rPr>
                <w:rFonts w:eastAsia="Times New Roman" w:cs="Arial"/>
                <w:color w:val="000000"/>
                <w:sz w:val="20"/>
                <w:szCs w:val="20"/>
              </w:rPr>
              <w:t>Musteen</w:t>
            </w:r>
            <w:proofErr w:type="spellEnd"/>
            <w:r w:rsidRPr="00817254">
              <w:rPr>
                <w:rFonts w:eastAsia="Times New Roman" w:cs="Arial"/>
                <w:color w:val="000000"/>
                <w:sz w:val="20"/>
                <w:szCs w:val="20"/>
              </w:rPr>
              <w:t xml:space="preserve"> et al., 2018; </w:t>
            </w:r>
            <w:r w:rsidRPr="00817254">
              <w:rPr>
                <w:rFonts w:eastAsia="Times New Roman" w:cs="Arial"/>
                <w:sz w:val="20"/>
                <w:szCs w:val="20"/>
              </w:rPr>
              <w:t>Racionero-Plaza &amp; Puig, 2017</w:t>
            </w:r>
            <w:r w:rsidRPr="00817254">
              <w:rPr>
                <w:rFonts w:eastAsia="Times New Roman" w:cs="Arial"/>
                <w:color w:val="000000"/>
                <w:sz w:val="20"/>
                <w:szCs w:val="20"/>
              </w:rPr>
              <w:t xml:space="preserve">; Roberts, 2021; </w:t>
            </w:r>
            <w:proofErr w:type="spellStart"/>
            <w:r w:rsidRPr="00817254">
              <w:rPr>
                <w:rFonts w:eastAsia="Times New Roman" w:cs="Arial"/>
                <w:color w:val="000000"/>
                <w:sz w:val="20"/>
                <w:szCs w:val="20"/>
              </w:rPr>
              <w:t>Seyednazari</w:t>
            </w:r>
            <w:proofErr w:type="spellEnd"/>
            <w:r w:rsidRPr="00817254">
              <w:rPr>
                <w:rFonts w:eastAsia="Times New Roman" w:cs="Arial"/>
                <w:color w:val="000000"/>
                <w:sz w:val="20"/>
                <w:szCs w:val="20"/>
              </w:rPr>
              <w:t xml:space="preserve"> et al., 2018; </w:t>
            </w:r>
            <w:proofErr w:type="spellStart"/>
            <w:r w:rsidRPr="00817254">
              <w:rPr>
                <w:rFonts w:eastAsia="Times New Roman" w:cs="Arial"/>
                <w:color w:val="000000"/>
                <w:sz w:val="20"/>
                <w:szCs w:val="20"/>
              </w:rPr>
              <w:t>Sigala</w:t>
            </w:r>
            <w:proofErr w:type="spellEnd"/>
            <w:r w:rsidRPr="00817254">
              <w:rPr>
                <w:rFonts w:eastAsia="Times New Roman" w:cs="Arial"/>
                <w:color w:val="000000"/>
                <w:sz w:val="20"/>
                <w:szCs w:val="20"/>
              </w:rPr>
              <w:t xml:space="preserve"> et al., 2019; </w:t>
            </w:r>
          </w:p>
        </w:tc>
      </w:tr>
      <w:tr w:rsidR="0011127F" w:rsidRPr="00817254" w14:paraId="373AF250" w14:textId="77777777" w:rsidTr="00E65452">
        <w:trPr>
          <w:cnfStyle w:val="000000100000" w:firstRow="0" w:lastRow="0" w:firstColumn="0" w:lastColumn="0" w:oddVBand="0" w:evenVBand="0" w:oddHBand="1" w:evenHBand="0" w:firstRowFirstColumn="0" w:firstRowLastColumn="0" w:lastRowFirstColumn="0" w:lastRowLastColumn="0"/>
        </w:trPr>
        <w:tc>
          <w:tcPr>
            <w:tcW w:w="1801" w:type="dxa"/>
          </w:tcPr>
          <w:p w14:paraId="792E6BE4" w14:textId="77777777" w:rsidR="0011127F" w:rsidRPr="00817254" w:rsidRDefault="0011127F" w:rsidP="00E65452">
            <w:pPr>
              <w:rPr>
                <w:rFonts w:eastAsia="Times New Roman" w:cs="Arial"/>
                <w:sz w:val="20"/>
                <w:szCs w:val="20"/>
              </w:rPr>
            </w:pPr>
            <w:r w:rsidRPr="00817254">
              <w:rPr>
                <w:rFonts w:eastAsia="Times New Roman" w:cs="Arial"/>
                <w:sz w:val="20"/>
                <w:szCs w:val="20"/>
              </w:rPr>
              <w:t>Salud</w:t>
            </w:r>
          </w:p>
        </w:tc>
        <w:tc>
          <w:tcPr>
            <w:tcW w:w="7549" w:type="dxa"/>
          </w:tcPr>
          <w:p w14:paraId="04EDF0C9" w14:textId="77777777" w:rsidR="0011127F" w:rsidRPr="00817254" w:rsidRDefault="0011127F" w:rsidP="00E65452">
            <w:pPr>
              <w:rPr>
                <w:rFonts w:eastAsia="Times New Roman" w:cs="Arial"/>
                <w:color w:val="000000"/>
                <w:sz w:val="20"/>
                <w:szCs w:val="20"/>
              </w:rPr>
            </w:pPr>
            <w:r w:rsidRPr="00817254">
              <w:rPr>
                <w:rFonts w:eastAsia="Times New Roman" w:cs="Arial"/>
                <w:color w:val="000000"/>
                <w:sz w:val="20"/>
                <w:szCs w:val="20"/>
              </w:rPr>
              <w:t xml:space="preserve">Austin et al., 2021; Duarte et al., 2020; </w:t>
            </w:r>
            <w:proofErr w:type="spellStart"/>
            <w:r w:rsidRPr="00817254">
              <w:rPr>
                <w:rFonts w:eastAsia="Times New Roman" w:cs="Arial"/>
                <w:color w:val="000000"/>
                <w:sz w:val="20"/>
                <w:szCs w:val="20"/>
              </w:rPr>
              <w:t>Jeffs</w:t>
            </w:r>
            <w:proofErr w:type="spellEnd"/>
            <w:r w:rsidRPr="00817254">
              <w:rPr>
                <w:rFonts w:eastAsia="Times New Roman" w:cs="Arial"/>
                <w:color w:val="000000"/>
                <w:sz w:val="20"/>
                <w:szCs w:val="20"/>
              </w:rPr>
              <w:t xml:space="preserve"> et al., 2016; </w:t>
            </w:r>
            <w:proofErr w:type="spellStart"/>
            <w:r w:rsidRPr="00817254">
              <w:rPr>
                <w:rFonts w:eastAsia="Times New Roman" w:cs="Arial"/>
                <w:color w:val="000000"/>
                <w:sz w:val="20"/>
                <w:szCs w:val="20"/>
              </w:rPr>
              <w:t>Lacasta</w:t>
            </w:r>
            <w:proofErr w:type="spellEnd"/>
            <w:r w:rsidRPr="00817254">
              <w:rPr>
                <w:rFonts w:eastAsia="Times New Roman" w:cs="Arial"/>
                <w:color w:val="000000"/>
                <w:sz w:val="20"/>
                <w:szCs w:val="20"/>
              </w:rPr>
              <w:t xml:space="preserve"> </w:t>
            </w:r>
            <w:proofErr w:type="spellStart"/>
            <w:r w:rsidRPr="00817254">
              <w:rPr>
                <w:rFonts w:eastAsia="Times New Roman" w:cs="Arial"/>
                <w:color w:val="000000"/>
                <w:sz w:val="20"/>
                <w:szCs w:val="20"/>
              </w:rPr>
              <w:t>Tintorer</w:t>
            </w:r>
            <w:proofErr w:type="spellEnd"/>
            <w:r w:rsidRPr="00817254">
              <w:rPr>
                <w:rFonts w:eastAsia="Times New Roman" w:cs="Arial"/>
                <w:color w:val="000000"/>
                <w:sz w:val="20"/>
                <w:szCs w:val="20"/>
              </w:rPr>
              <w:t xml:space="preserve"> et al., 2015ª; </w:t>
            </w:r>
            <w:proofErr w:type="spellStart"/>
            <w:r w:rsidRPr="00817254">
              <w:rPr>
                <w:rFonts w:eastAsia="Times New Roman" w:cs="Arial"/>
                <w:color w:val="000000"/>
                <w:sz w:val="20"/>
                <w:szCs w:val="20"/>
              </w:rPr>
              <w:t>Wieringa</w:t>
            </w:r>
            <w:proofErr w:type="spellEnd"/>
            <w:r w:rsidRPr="00817254">
              <w:rPr>
                <w:rFonts w:eastAsia="Times New Roman" w:cs="Arial"/>
                <w:color w:val="000000"/>
                <w:sz w:val="20"/>
                <w:szCs w:val="20"/>
              </w:rPr>
              <w:t xml:space="preserve"> et al., 2018; </w:t>
            </w:r>
          </w:p>
        </w:tc>
      </w:tr>
      <w:tr w:rsidR="0011127F" w:rsidRPr="00817254" w14:paraId="3E90D45C" w14:textId="77777777" w:rsidTr="00E65452">
        <w:tc>
          <w:tcPr>
            <w:tcW w:w="1801" w:type="dxa"/>
          </w:tcPr>
          <w:p w14:paraId="6B6EAFBE" w14:textId="77777777" w:rsidR="0011127F" w:rsidRPr="00817254" w:rsidRDefault="0011127F" w:rsidP="00E65452">
            <w:pPr>
              <w:rPr>
                <w:rFonts w:eastAsia="Times New Roman" w:cs="Arial"/>
                <w:sz w:val="20"/>
                <w:szCs w:val="20"/>
              </w:rPr>
            </w:pPr>
            <w:r w:rsidRPr="00817254">
              <w:rPr>
                <w:rFonts w:eastAsia="Times New Roman" w:cs="Arial"/>
                <w:sz w:val="20"/>
                <w:szCs w:val="20"/>
              </w:rPr>
              <w:t>TI  &amp; software</w:t>
            </w:r>
          </w:p>
        </w:tc>
        <w:tc>
          <w:tcPr>
            <w:tcW w:w="7549" w:type="dxa"/>
          </w:tcPr>
          <w:p w14:paraId="1058ED35" w14:textId="77777777" w:rsidR="0011127F" w:rsidRPr="00817254" w:rsidRDefault="0011127F" w:rsidP="00E65452">
            <w:pPr>
              <w:rPr>
                <w:rFonts w:eastAsia="Times New Roman" w:cs="Arial"/>
                <w:color w:val="000000"/>
                <w:sz w:val="20"/>
                <w:szCs w:val="20"/>
              </w:rPr>
            </w:pPr>
            <w:proofErr w:type="spellStart"/>
            <w:r w:rsidRPr="00817254">
              <w:rPr>
                <w:rFonts w:eastAsia="Times New Roman" w:cs="Arial"/>
                <w:color w:val="000000"/>
                <w:sz w:val="20"/>
                <w:szCs w:val="20"/>
              </w:rPr>
              <w:t>Hermanrud</w:t>
            </w:r>
            <w:proofErr w:type="spellEnd"/>
            <w:r w:rsidRPr="00817254">
              <w:rPr>
                <w:rFonts w:eastAsia="Times New Roman" w:cs="Arial"/>
                <w:color w:val="000000"/>
                <w:sz w:val="20"/>
                <w:szCs w:val="20"/>
              </w:rPr>
              <w:t xml:space="preserve">, 2017; </w:t>
            </w:r>
            <w:proofErr w:type="spellStart"/>
            <w:r w:rsidRPr="00817254">
              <w:rPr>
                <w:rFonts w:eastAsia="Times New Roman" w:cs="Arial"/>
                <w:color w:val="000000"/>
                <w:sz w:val="20"/>
                <w:szCs w:val="20"/>
              </w:rPr>
              <w:t>Sztangret</w:t>
            </w:r>
            <w:proofErr w:type="spellEnd"/>
            <w:r w:rsidRPr="00817254">
              <w:rPr>
                <w:rFonts w:eastAsia="Times New Roman" w:cs="Arial"/>
                <w:color w:val="000000"/>
                <w:sz w:val="20"/>
                <w:szCs w:val="20"/>
              </w:rPr>
              <w:t xml:space="preserve">, 2016; </w:t>
            </w:r>
            <w:proofErr w:type="spellStart"/>
            <w:r w:rsidRPr="00817254">
              <w:rPr>
                <w:rFonts w:eastAsia="Times New Roman" w:cs="Arial"/>
                <w:sz w:val="20"/>
                <w:szCs w:val="20"/>
              </w:rPr>
              <w:t>Murnane</w:t>
            </w:r>
            <w:proofErr w:type="spellEnd"/>
            <w:r w:rsidRPr="00817254">
              <w:rPr>
                <w:rFonts w:eastAsia="Times New Roman" w:cs="Arial"/>
                <w:sz w:val="20"/>
                <w:szCs w:val="20"/>
              </w:rPr>
              <w:t xml:space="preserve"> &amp; </w:t>
            </w:r>
            <w:proofErr w:type="spellStart"/>
            <w:r w:rsidRPr="00817254">
              <w:rPr>
                <w:rFonts w:eastAsia="Times New Roman" w:cs="Arial"/>
                <w:sz w:val="20"/>
                <w:szCs w:val="20"/>
              </w:rPr>
              <w:t>Browne</w:t>
            </w:r>
            <w:proofErr w:type="spellEnd"/>
            <w:r w:rsidRPr="00817254">
              <w:rPr>
                <w:rFonts w:eastAsia="Times New Roman" w:cs="Arial"/>
                <w:sz w:val="20"/>
                <w:szCs w:val="20"/>
              </w:rPr>
              <w:t>, 2016</w:t>
            </w:r>
          </w:p>
        </w:tc>
      </w:tr>
      <w:tr w:rsidR="0011127F" w:rsidRPr="00D74E2F" w14:paraId="2C62A57D" w14:textId="77777777" w:rsidTr="00E65452">
        <w:trPr>
          <w:cnfStyle w:val="000000100000" w:firstRow="0" w:lastRow="0" w:firstColumn="0" w:lastColumn="0" w:oddVBand="0" w:evenVBand="0" w:oddHBand="1" w:evenHBand="0" w:firstRowFirstColumn="0" w:firstRowLastColumn="0" w:lastRowFirstColumn="0" w:lastRowLastColumn="0"/>
        </w:trPr>
        <w:tc>
          <w:tcPr>
            <w:tcW w:w="1801" w:type="dxa"/>
          </w:tcPr>
          <w:p w14:paraId="552F998C" w14:textId="77777777" w:rsidR="0011127F" w:rsidRPr="00817254" w:rsidRDefault="0011127F" w:rsidP="00E65452">
            <w:pPr>
              <w:rPr>
                <w:rFonts w:eastAsia="Times New Roman" w:cs="Arial"/>
                <w:sz w:val="20"/>
                <w:szCs w:val="20"/>
              </w:rPr>
            </w:pPr>
            <w:r w:rsidRPr="00817254">
              <w:rPr>
                <w:rFonts w:eastAsia="Times New Roman" w:cs="Arial"/>
                <w:sz w:val="20"/>
                <w:szCs w:val="20"/>
              </w:rPr>
              <w:t>Comunitario</w:t>
            </w:r>
          </w:p>
        </w:tc>
        <w:tc>
          <w:tcPr>
            <w:tcW w:w="7549" w:type="dxa"/>
          </w:tcPr>
          <w:p w14:paraId="1E227EAE" w14:textId="77777777" w:rsidR="0011127F" w:rsidRPr="00817254" w:rsidRDefault="0011127F" w:rsidP="00E65452">
            <w:pPr>
              <w:rPr>
                <w:rFonts w:eastAsia="Times New Roman" w:cs="Arial"/>
                <w:sz w:val="20"/>
                <w:szCs w:val="20"/>
                <w:lang w:val="fr-FR"/>
              </w:rPr>
            </w:pPr>
            <w:r w:rsidRPr="00817254">
              <w:rPr>
                <w:rFonts w:eastAsia="Times New Roman" w:cs="Arial"/>
                <w:color w:val="000000"/>
                <w:sz w:val="20"/>
                <w:szCs w:val="20"/>
                <w:lang w:val="fr-FR"/>
              </w:rPr>
              <w:t xml:space="preserve">Golden et al., 2019; </w:t>
            </w:r>
            <w:r w:rsidRPr="00817254">
              <w:rPr>
                <w:rFonts w:eastAsia="Times New Roman" w:cs="Arial"/>
                <w:sz w:val="20"/>
                <w:szCs w:val="20"/>
                <w:lang w:val="fr-FR"/>
              </w:rPr>
              <w:t xml:space="preserve">Mailloux &amp; Lacharité, 2020; </w:t>
            </w:r>
            <w:r w:rsidRPr="00817254">
              <w:rPr>
                <w:rFonts w:eastAsia="Times New Roman" w:cs="Arial"/>
                <w:color w:val="000000"/>
                <w:sz w:val="20"/>
                <w:szCs w:val="20"/>
                <w:lang w:val="fr-FR"/>
              </w:rPr>
              <w:t>Ponsford et al., 2017</w:t>
            </w:r>
          </w:p>
        </w:tc>
      </w:tr>
      <w:tr w:rsidR="0011127F" w:rsidRPr="00817254" w14:paraId="2ABF2E28" w14:textId="77777777" w:rsidTr="00E65452">
        <w:tc>
          <w:tcPr>
            <w:tcW w:w="1801" w:type="dxa"/>
          </w:tcPr>
          <w:p w14:paraId="5F7382CD" w14:textId="77777777" w:rsidR="0011127F" w:rsidRPr="00817254" w:rsidRDefault="0011127F" w:rsidP="00E65452">
            <w:pPr>
              <w:rPr>
                <w:rFonts w:eastAsia="Times New Roman" w:cs="Arial"/>
                <w:sz w:val="20"/>
                <w:szCs w:val="20"/>
              </w:rPr>
            </w:pPr>
            <w:r w:rsidRPr="00817254">
              <w:rPr>
                <w:rFonts w:eastAsia="Times New Roman" w:cs="Arial"/>
                <w:sz w:val="20"/>
                <w:szCs w:val="20"/>
              </w:rPr>
              <w:t>Cooperación científica</w:t>
            </w:r>
          </w:p>
        </w:tc>
        <w:tc>
          <w:tcPr>
            <w:tcW w:w="7549" w:type="dxa"/>
          </w:tcPr>
          <w:p w14:paraId="6D6DDCDE" w14:textId="77777777" w:rsidR="0011127F" w:rsidRPr="00817254" w:rsidRDefault="0011127F" w:rsidP="00E65452">
            <w:pPr>
              <w:rPr>
                <w:rFonts w:eastAsia="Times New Roman" w:cs="Arial"/>
                <w:sz w:val="20"/>
                <w:szCs w:val="20"/>
              </w:rPr>
            </w:pPr>
            <w:proofErr w:type="spellStart"/>
            <w:r w:rsidRPr="00817254">
              <w:rPr>
                <w:rFonts w:eastAsia="Times New Roman" w:cs="Arial"/>
                <w:color w:val="000000"/>
                <w:sz w:val="20"/>
                <w:szCs w:val="20"/>
              </w:rPr>
              <w:t>Handzic</w:t>
            </w:r>
            <w:proofErr w:type="spellEnd"/>
            <w:r w:rsidRPr="00817254">
              <w:rPr>
                <w:rFonts w:eastAsia="Times New Roman" w:cs="Arial"/>
                <w:color w:val="000000"/>
                <w:sz w:val="20"/>
                <w:szCs w:val="20"/>
              </w:rPr>
              <w:t xml:space="preserve"> et al., 2021</w:t>
            </w:r>
          </w:p>
        </w:tc>
      </w:tr>
      <w:tr w:rsidR="0011127F" w:rsidRPr="00817254" w14:paraId="7D4CA272" w14:textId="77777777" w:rsidTr="00E65452">
        <w:trPr>
          <w:cnfStyle w:val="000000100000" w:firstRow="0" w:lastRow="0" w:firstColumn="0" w:lastColumn="0" w:oddVBand="0" w:evenVBand="0" w:oddHBand="1" w:evenHBand="0" w:firstRowFirstColumn="0" w:firstRowLastColumn="0" w:lastRowFirstColumn="0" w:lastRowLastColumn="0"/>
        </w:trPr>
        <w:tc>
          <w:tcPr>
            <w:tcW w:w="1801" w:type="dxa"/>
          </w:tcPr>
          <w:p w14:paraId="035A719A" w14:textId="77777777" w:rsidR="0011127F" w:rsidRPr="00817254" w:rsidRDefault="0011127F" w:rsidP="00E65452">
            <w:pPr>
              <w:rPr>
                <w:rFonts w:eastAsia="Times New Roman" w:cs="Arial"/>
                <w:sz w:val="20"/>
                <w:szCs w:val="20"/>
              </w:rPr>
            </w:pPr>
            <w:r w:rsidRPr="00817254">
              <w:rPr>
                <w:rFonts w:eastAsia="Times New Roman" w:cs="Arial"/>
                <w:sz w:val="20"/>
                <w:szCs w:val="20"/>
              </w:rPr>
              <w:t>Gestión pública</w:t>
            </w:r>
          </w:p>
        </w:tc>
        <w:tc>
          <w:tcPr>
            <w:tcW w:w="7549" w:type="dxa"/>
          </w:tcPr>
          <w:p w14:paraId="3FC4D5D8" w14:textId="77777777" w:rsidR="0011127F" w:rsidRPr="00817254" w:rsidRDefault="0011127F" w:rsidP="00E65452">
            <w:pPr>
              <w:rPr>
                <w:rFonts w:eastAsia="Times New Roman" w:cs="Arial"/>
                <w:sz w:val="20"/>
                <w:szCs w:val="20"/>
              </w:rPr>
            </w:pPr>
            <w:r w:rsidRPr="00817254">
              <w:rPr>
                <w:rFonts w:eastAsia="Times New Roman" w:cs="Arial"/>
                <w:sz w:val="20"/>
                <w:szCs w:val="20"/>
              </w:rPr>
              <w:t>(</w:t>
            </w:r>
            <w:proofErr w:type="spellStart"/>
            <w:r w:rsidRPr="00817254">
              <w:rPr>
                <w:rFonts w:eastAsia="Times New Roman" w:cs="Arial"/>
                <w:sz w:val="20"/>
                <w:szCs w:val="20"/>
              </w:rPr>
              <w:t>Mosala</w:t>
            </w:r>
            <w:proofErr w:type="spellEnd"/>
            <w:r w:rsidRPr="00817254">
              <w:rPr>
                <w:rFonts w:eastAsia="Times New Roman" w:cs="Arial"/>
                <w:sz w:val="20"/>
                <w:szCs w:val="20"/>
              </w:rPr>
              <w:t xml:space="preserve">-Bryant &amp; </w:t>
            </w:r>
            <w:proofErr w:type="spellStart"/>
            <w:r w:rsidRPr="00817254">
              <w:rPr>
                <w:rFonts w:eastAsia="Times New Roman" w:cs="Arial"/>
                <w:sz w:val="20"/>
                <w:szCs w:val="20"/>
              </w:rPr>
              <w:t>Hoskins</w:t>
            </w:r>
            <w:proofErr w:type="spellEnd"/>
            <w:r w:rsidRPr="00817254">
              <w:rPr>
                <w:rFonts w:eastAsia="Times New Roman" w:cs="Arial"/>
                <w:sz w:val="20"/>
                <w:szCs w:val="20"/>
              </w:rPr>
              <w:t>, 2017)</w:t>
            </w:r>
          </w:p>
        </w:tc>
      </w:tr>
      <w:tr w:rsidR="0011127F" w:rsidRPr="00D74E2F" w14:paraId="42ED2AE2" w14:textId="77777777" w:rsidTr="00E65452">
        <w:tc>
          <w:tcPr>
            <w:tcW w:w="1801" w:type="dxa"/>
          </w:tcPr>
          <w:p w14:paraId="0000ED99" w14:textId="77777777" w:rsidR="0011127F" w:rsidRPr="00817254" w:rsidRDefault="0011127F" w:rsidP="00E65452">
            <w:pPr>
              <w:rPr>
                <w:rFonts w:eastAsia="Times New Roman" w:cs="Arial"/>
                <w:sz w:val="20"/>
                <w:szCs w:val="20"/>
              </w:rPr>
            </w:pPr>
            <w:r w:rsidRPr="00817254">
              <w:rPr>
                <w:rFonts w:eastAsia="Times New Roman" w:cs="Arial"/>
                <w:sz w:val="20"/>
                <w:szCs w:val="20"/>
              </w:rPr>
              <w:t>Sector Industria</w:t>
            </w:r>
          </w:p>
        </w:tc>
        <w:tc>
          <w:tcPr>
            <w:tcW w:w="7549" w:type="dxa"/>
          </w:tcPr>
          <w:p w14:paraId="3EA7B590" w14:textId="77777777" w:rsidR="0011127F" w:rsidRPr="00817254" w:rsidRDefault="0011127F" w:rsidP="00E65452">
            <w:pPr>
              <w:rPr>
                <w:rFonts w:eastAsia="Times New Roman" w:cs="Arial"/>
                <w:sz w:val="20"/>
                <w:szCs w:val="20"/>
                <w:lang w:val="en-US"/>
              </w:rPr>
            </w:pPr>
            <w:r w:rsidRPr="00817254">
              <w:rPr>
                <w:rFonts w:eastAsia="Times New Roman" w:cs="Arial"/>
                <w:color w:val="000000"/>
                <w:sz w:val="20"/>
                <w:szCs w:val="20"/>
                <w:highlight w:val="white"/>
                <w:lang w:val="en-US"/>
              </w:rPr>
              <w:t xml:space="preserve">Christine Nya-Ling Tan, T. </w:t>
            </w:r>
            <w:proofErr w:type="spellStart"/>
            <w:r w:rsidRPr="00817254">
              <w:rPr>
                <w:rFonts w:eastAsia="Times New Roman" w:cs="Arial"/>
                <w:color w:val="000000"/>
                <w:sz w:val="20"/>
                <w:szCs w:val="20"/>
                <w:highlight w:val="white"/>
                <w:lang w:val="en-US"/>
              </w:rPr>
              <w:t>Ramayah</w:t>
            </w:r>
            <w:proofErr w:type="spellEnd"/>
            <w:r w:rsidRPr="00817254">
              <w:rPr>
                <w:rFonts w:eastAsia="Times New Roman" w:cs="Arial"/>
                <w:color w:val="000000"/>
                <w:sz w:val="20"/>
                <w:szCs w:val="20"/>
                <w:highlight w:val="white"/>
                <w:lang w:val="en-US"/>
              </w:rPr>
              <w:t xml:space="preserve"> 2017</w:t>
            </w:r>
          </w:p>
        </w:tc>
      </w:tr>
    </w:tbl>
    <w:p w14:paraId="5440E24C" w14:textId="77777777" w:rsidR="00172AF8" w:rsidRPr="00626685" w:rsidRDefault="00172AF8" w:rsidP="00E65452">
      <w:pPr>
        <w:spacing w:after="0"/>
        <w:ind w:firstLine="708"/>
        <w:rPr>
          <w:rFonts w:eastAsia="Times New Roman" w:cs="Arial"/>
          <w:bCs/>
          <w:lang w:val="en-US" w:eastAsia="es-EC"/>
        </w:rPr>
      </w:pPr>
    </w:p>
    <w:p w14:paraId="3DE9B320" w14:textId="77777777" w:rsidR="00172AF8" w:rsidRPr="00817254" w:rsidRDefault="0011127F" w:rsidP="00626685">
      <w:pPr>
        <w:autoSpaceDE w:val="0"/>
        <w:autoSpaceDN w:val="0"/>
        <w:adjustRightInd w:val="0"/>
        <w:spacing w:after="0"/>
        <w:rPr>
          <w:rFonts w:eastAsia="Times New Roman" w:cs="Arial"/>
          <w:bCs/>
          <w:lang w:eastAsia="es-EC"/>
        </w:rPr>
      </w:pPr>
      <w:r w:rsidRPr="00817254">
        <w:rPr>
          <w:rFonts w:eastAsia="Times New Roman" w:cs="Arial"/>
          <w:bCs/>
          <w:lang w:eastAsia="es-EC"/>
        </w:rPr>
        <w:t>La codificación de la información por medio del uso de software Atlas TI, permitió definir cinco categorías para la asociación de las acciones organizacionales las cuales corresponden a: visión sistémica y holística de la organización, definición de apuestas transversales, estructura organizacional, integración, comunicación y evaluación y pro</w:t>
      </w:r>
      <w:r w:rsidR="00172AF8" w:rsidRPr="00817254">
        <w:rPr>
          <w:rFonts w:eastAsia="Times New Roman" w:cs="Arial"/>
          <w:bCs/>
          <w:lang w:eastAsia="es-EC"/>
        </w:rPr>
        <w:t>gresión y niveles de formación.</w:t>
      </w:r>
    </w:p>
    <w:p w14:paraId="375A2FD1" w14:textId="0CCD6007" w:rsidR="0011127F" w:rsidRPr="00817254" w:rsidRDefault="0011127F" w:rsidP="00172AF8">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 xml:space="preserve">Seguido del análisis de las categorías, se asociaron acciones concretas que se adelantaron desde la </w:t>
      </w:r>
      <w:proofErr w:type="spellStart"/>
      <w:r w:rsidRPr="00817254">
        <w:rPr>
          <w:rFonts w:eastAsia="Times New Roman" w:cs="Arial"/>
          <w:bCs/>
          <w:lang w:eastAsia="es-EC"/>
        </w:rPr>
        <w:t>CoP</w:t>
      </w:r>
      <w:proofErr w:type="spellEnd"/>
      <w:r w:rsidRPr="00817254">
        <w:rPr>
          <w:rFonts w:eastAsia="Times New Roman" w:cs="Arial"/>
          <w:bCs/>
          <w:lang w:eastAsia="es-EC"/>
        </w:rPr>
        <w:t xml:space="preserve">, lo cual es reportado haciendo mención del dominio con el fin de dar contexto a la estrategia o acción implementada según la sistematización de la literatura. </w:t>
      </w:r>
    </w:p>
    <w:p w14:paraId="2070A10A" w14:textId="638D1599" w:rsidR="0011127F" w:rsidRPr="00817254" w:rsidRDefault="0011127F" w:rsidP="00172AF8">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 xml:space="preserve">Por otra parte, se observaron siete (7) </w:t>
      </w:r>
      <w:proofErr w:type="spellStart"/>
      <w:r w:rsidRPr="00817254">
        <w:rPr>
          <w:rFonts w:eastAsia="Times New Roman" w:cs="Arial"/>
          <w:bCs/>
          <w:lang w:eastAsia="es-EC"/>
        </w:rPr>
        <w:t>CoP</w:t>
      </w:r>
      <w:r w:rsidR="00D23E21" w:rsidRPr="00817254">
        <w:rPr>
          <w:rFonts w:eastAsia="Times New Roman" w:cs="Arial"/>
          <w:bCs/>
          <w:lang w:eastAsia="es-EC"/>
        </w:rPr>
        <w:t>s</w:t>
      </w:r>
      <w:proofErr w:type="spellEnd"/>
      <w:r w:rsidRPr="00817254">
        <w:rPr>
          <w:rFonts w:eastAsia="Times New Roman" w:cs="Arial"/>
          <w:bCs/>
          <w:lang w:eastAsia="es-EC"/>
        </w:rPr>
        <w:t xml:space="preserve"> altamente consolidadas a nivel internacional que permiten conocer la dinámica, aportes y soportes de trabajo para la optimización de la gestión e intercambio del conocimiento, describiendo sus campos de acción, de la siguiente manera: </w:t>
      </w:r>
    </w:p>
    <w:p w14:paraId="07F839AF" w14:textId="77777777" w:rsidR="00E65452" w:rsidRPr="00817254" w:rsidRDefault="00E65452" w:rsidP="00E65452">
      <w:pPr>
        <w:spacing w:after="0"/>
        <w:ind w:firstLine="708"/>
        <w:rPr>
          <w:rFonts w:eastAsia="Times New Roman" w:cs="Arial"/>
          <w:bCs/>
          <w:lang w:eastAsia="es-EC"/>
        </w:rPr>
      </w:pPr>
    </w:p>
    <w:p w14:paraId="30044D32" w14:textId="63FE4AB7" w:rsidR="00626685" w:rsidRDefault="0011127F" w:rsidP="0011127F">
      <w:pPr>
        <w:spacing w:after="0"/>
        <w:rPr>
          <w:rFonts w:eastAsia="Times New Roman" w:cs="Arial"/>
          <w:b/>
          <w:sz w:val="20"/>
        </w:rPr>
      </w:pPr>
      <w:r w:rsidRPr="00817254">
        <w:rPr>
          <w:rFonts w:eastAsia="Times New Roman" w:cs="Arial"/>
          <w:b/>
          <w:sz w:val="20"/>
        </w:rPr>
        <w:t>Tabla 2</w:t>
      </w:r>
    </w:p>
    <w:p w14:paraId="49AF266C" w14:textId="25D32377" w:rsidR="0011127F" w:rsidRPr="00817254" w:rsidRDefault="0011127F" w:rsidP="0011127F">
      <w:pPr>
        <w:spacing w:after="0"/>
        <w:rPr>
          <w:rFonts w:ascii="Times New Roman" w:eastAsia="Times New Roman" w:hAnsi="Times New Roman" w:cs="Times New Roman"/>
          <w:i/>
          <w:szCs w:val="24"/>
        </w:rPr>
      </w:pPr>
      <w:proofErr w:type="spellStart"/>
      <w:r w:rsidRPr="00817254">
        <w:rPr>
          <w:rFonts w:eastAsia="Times New Roman" w:cs="Arial"/>
          <w:i/>
          <w:sz w:val="20"/>
        </w:rPr>
        <w:t>CoP</w:t>
      </w:r>
      <w:proofErr w:type="spellEnd"/>
      <w:r w:rsidRPr="00817254">
        <w:rPr>
          <w:rFonts w:eastAsia="Times New Roman" w:cs="Arial"/>
          <w:i/>
          <w:sz w:val="20"/>
        </w:rPr>
        <w:t xml:space="preserve"> relacionadas en la revisión de literatura, con campos de </w:t>
      </w:r>
      <w:r w:rsidR="00E65452" w:rsidRPr="00817254">
        <w:rPr>
          <w:rFonts w:eastAsia="Times New Roman" w:cs="Arial"/>
          <w:i/>
          <w:sz w:val="20"/>
        </w:rPr>
        <w:t>acción</w:t>
      </w:r>
      <w:r w:rsidRPr="00817254">
        <w:rPr>
          <w:rFonts w:eastAsia="Times New Roman" w:cs="Arial"/>
          <w:i/>
          <w:sz w:val="20"/>
        </w:rPr>
        <w:t xml:space="preserve"> de aprendizaje con peda</w:t>
      </w:r>
      <w:r w:rsidR="00172AF8" w:rsidRPr="00817254">
        <w:rPr>
          <w:rFonts w:eastAsia="Times New Roman" w:cs="Arial"/>
          <w:i/>
          <w:sz w:val="20"/>
        </w:rPr>
        <w:t>gogía virtual a través de redes</w:t>
      </w: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0"/>
        <w:gridCol w:w="1960"/>
        <w:gridCol w:w="6169"/>
      </w:tblGrid>
      <w:tr w:rsidR="0011127F" w:rsidRPr="00817254" w14:paraId="11CBF766" w14:textId="77777777" w:rsidTr="00626685">
        <w:trPr>
          <w:trHeight w:val="191"/>
          <w:tblHeader/>
          <w:jc w:val="center"/>
        </w:trPr>
        <w:tc>
          <w:tcPr>
            <w:tcW w:w="940" w:type="dxa"/>
            <w:tcBorders>
              <w:left w:val="single" w:sz="4" w:space="0" w:color="FFFFFF" w:themeColor="background1"/>
              <w:right w:val="single" w:sz="4" w:space="0" w:color="FFFFFF" w:themeColor="background1"/>
            </w:tcBorders>
            <w:vAlign w:val="center"/>
          </w:tcPr>
          <w:p w14:paraId="4600B708" w14:textId="7D2FA96D" w:rsidR="0011127F" w:rsidRPr="00817254" w:rsidRDefault="0011127F" w:rsidP="00172AF8">
            <w:pPr>
              <w:spacing w:after="0"/>
              <w:jc w:val="center"/>
              <w:rPr>
                <w:rFonts w:eastAsia="Times New Roman" w:cs="Arial"/>
                <w:b/>
                <w:sz w:val="20"/>
                <w:szCs w:val="20"/>
              </w:rPr>
            </w:pPr>
            <w:r w:rsidRPr="00817254">
              <w:rPr>
                <w:rFonts w:ascii="Times New Roman" w:eastAsia="Times New Roman" w:hAnsi="Times New Roman" w:cs="Times New Roman"/>
                <w:i/>
                <w:sz w:val="20"/>
                <w:szCs w:val="20"/>
              </w:rPr>
              <w:t xml:space="preserve"> </w:t>
            </w:r>
            <w:r w:rsidRPr="00817254">
              <w:rPr>
                <w:rFonts w:eastAsia="Times New Roman" w:cs="Arial"/>
                <w:b/>
                <w:sz w:val="20"/>
                <w:szCs w:val="20"/>
              </w:rPr>
              <w:t xml:space="preserve">No. </w:t>
            </w:r>
          </w:p>
        </w:tc>
        <w:tc>
          <w:tcPr>
            <w:tcW w:w="1960" w:type="dxa"/>
            <w:tcBorders>
              <w:left w:val="single" w:sz="4" w:space="0" w:color="FFFFFF" w:themeColor="background1"/>
              <w:right w:val="single" w:sz="4" w:space="0" w:color="FFFFFF" w:themeColor="background1"/>
            </w:tcBorders>
            <w:vAlign w:val="center"/>
          </w:tcPr>
          <w:p w14:paraId="247A9A8E" w14:textId="77777777" w:rsidR="0011127F" w:rsidRPr="00817254" w:rsidRDefault="0011127F" w:rsidP="00172AF8">
            <w:pPr>
              <w:spacing w:after="0"/>
              <w:jc w:val="center"/>
              <w:rPr>
                <w:rFonts w:eastAsia="Times New Roman" w:cs="Arial"/>
                <w:b/>
                <w:sz w:val="20"/>
                <w:szCs w:val="20"/>
              </w:rPr>
            </w:pPr>
            <w:r w:rsidRPr="00817254">
              <w:rPr>
                <w:rFonts w:eastAsia="Times New Roman" w:cs="Arial"/>
                <w:b/>
                <w:sz w:val="20"/>
                <w:szCs w:val="20"/>
              </w:rPr>
              <w:t xml:space="preserve">Comunidad de práctica </w:t>
            </w:r>
          </w:p>
        </w:tc>
        <w:tc>
          <w:tcPr>
            <w:tcW w:w="6169" w:type="dxa"/>
            <w:tcBorders>
              <w:left w:val="single" w:sz="4" w:space="0" w:color="FFFFFF" w:themeColor="background1"/>
              <w:right w:val="single" w:sz="4" w:space="0" w:color="FFFFFF" w:themeColor="background1"/>
            </w:tcBorders>
          </w:tcPr>
          <w:p w14:paraId="0E87FB9A" w14:textId="77777777" w:rsidR="0011127F" w:rsidRPr="00817254" w:rsidRDefault="0011127F" w:rsidP="00172AF8">
            <w:pPr>
              <w:spacing w:after="0"/>
              <w:jc w:val="center"/>
              <w:rPr>
                <w:rFonts w:eastAsia="Times New Roman" w:cs="Arial"/>
                <w:b/>
                <w:sz w:val="20"/>
                <w:szCs w:val="20"/>
              </w:rPr>
            </w:pPr>
            <w:r w:rsidRPr="00817254">
              <w:rPr>
                <w:rFonts w:eastAsia="Times New Roman" w:cs="Arial"/>
                <w:b/>
                <w:sz w:val="20"/>
                <w:szCs w:val="20"/>
              </w:rPr>
              <w:t>Campo de acción</w:t>
            </w:r>
          </w:p>
        </w:tc>
      </w:tr>
      <w:tr w:rsidR="0011127F" w:rsidRPr="00817254" w14:paraId="31A8E0BE" w14:textId="77777777" w:rsidTr="00626685">
        <w:trPr>
          <w:jc w:val="center"/>
        </w:trPr>
        <w:tc>
          <w:tcPr>
            <w:tcW w:w="940" w:type="dxa"/>
            <w:tcBorders>
              <w:left w:val="single" w:sz="4" w:space="0" w:color="FFFFFF" w:themeColor="background1"/>
              <w:bottom w:val="single" w:sz="4" w:space="0" w:color="FFFFFF" w:themeColor="background1"/>
              <w:right w:val="single" w:sz="4" w:space="0" w:color="FFFFFF" w:themeColor="background1"/>
            </w:tcBorders>
            <w:vAlign w:val="center"/>
          </w:tcPr>
          <w:p w14:paraId="58DEBD39"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1A</w:t>
            </w:r>
          </w:p>
        </w:tc>
        <w:tc>
          <w:tcPr>
            <w:tcW w:w="1960" w:type="dxa"/>
            <w:tcBorders>
              <w:left w:val="single" w:sz="4" w:space="0" w:color="FFFFFF" w:themeColor="background1"/>
              <w:bottom w:val="single" w:sz="4" w:space="0" w:color="FFFFFF" w:themeColor="background1"/>
              <w:right w:val="single" w:sz="4" w:space="0" w:color="FFFFFF" w:themeColor="background1"/>
            </w:tcBorders>
            <w:vAlign w:val="center"/>
          </w:tcPr>
          <w:p w14:paraId="740E243F" w14:textId="77777777" w:rsidR="0011127F" w:rsidRPr="00817254" w:rsidRDefault="0011127F" w:rsidP="00172AF8">
            <w:pPr>
              <w:spacing w:after="0"/>
              <w:jc w:val="center"/>
              <w:rPr>
                <w:rFonts w:eastAsia="Times New Roman" w:cs="Arial"/>
                <w:sz w:val="20"/>
                <w:szCs w:val="20"/>
              </w:rPr>
            </w:pPr>
            <w:r w:rsidRPr="00817254">
              <w:rPr>
                <w:rFonts w:eastAsia="Times New Roman" w:cs="Arial"/>
                <w:color w:val="000000"/>
                <w:sz w:val="20"/>
                <w:szCs w:val="20"/>
                <w:highlight w:val="white"/>
              </w:rPr>
              <w:t>REUNI+D</w:t>
            </w:r>
          </w:p>
        </w:tc>
        <w:tc>
          <w:tcPr>
            <w:tcW w:w="6169" w:type="dxa"/>
            <w:tcBorders>
              <w:left w:val="single" w:sz="4" w:space="0" w:color="FFFFFF" w:themeColor="background1"/>
              <w:bottom w:val="single" w:sz="4" w:space="0" w:color="FFFFFF" w:themeColor="background1"/>
              <w:right w:val="single" w:sz="4" w:space="0" w:color="FFFFFF" w:themeColor="background1"/>
            </w:tcBorders>
          </w:tcPr>
          <w:p w14:paraId="5D917E58" w14:textId="77777777" w:rsidR="0011127F" w:rsidRPr="00817254" w:rsidRDefault="0011127F" w:rsidP="00172AF8">
            <w:pPr>
              <w:spacing w:after="0"/>
              <w:rPr>
                <w:rFonts w:eastAsia="Times New Roman" w:cs="Arial"/>
                <w:sz w:val="20"/>
                <w:szCs w:val="20"/>
              </w:rPr>
            </w:pPr>
            <w:r w:rsidRPr="00817254">
              <w:rPr>
                <w:rFonts w:eastAsia="Times New Roman" w:cs="Arial"/>
                <w:sz w:val="20"/>
                <w:szCs w:val="20"/>
              </w:rPr>
              <w:t xml:space="preserve">Competencia central del sector educativo, participan diferentes miembros de la organización GITE –USAL Grupo de Investigación en Tecnología Educativa. </w:t>
            </w:r>
            <w:hyperlink r:id="rId9">
              <w:r w:rsidRPr="00817254">
                <w:rPr>
                  <w:rFonts w:eastAsia="Times New Roman" w:cs="Arial"/>
                  <w:b/>
                  <w:color w:val="1155CC"/>
                  <w:sz w:val="20"/>
                  <w:szCs w:val="20"/>
                </w:rPr>
                <w:t>https://reunid.eu/</w:t>
              </w:r>
            </w:hyperlink>
          </w:p>
        </w:tc>
      </w:tr>
      <w:tr w:rsidR="0011127F" w:rsidRPr="00817254" w14:paraId="3A206116" w14:textId="77777777" w:rsidTr="00626685">
        <w:trPr>
          <w:jc w:val="center"/>
        </w:trPr>
        <w:tc>
          <w:tcPr>
            <w:tcW w:w="9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6C2ACA5"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1B</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56604B0"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CDA Comunidades de aprendizaje</w:t>
            </w:r>
          </w:p>
        </w:tc>
        <w:tc>
          <w:tcPr>
            <w:tcW w:w="61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5CED079" w14:textId="77777777" w:rsidR="0011127F" w:rsidRPr="00817254" w:rsidRDefault="0011127F" w:rsidP="00172AF8">
            <w:pPr>
              <w:spacing w:after="0"/>
              <w:rPr>
                <w:rFonts w:eastAsia="Times New Roman" w:cs="Arial"/>
                <w:sz w:val="20"/>
                <w:szCs w:val="20"/>
              </w:rPr>
            </w:pPr>
            <w:r w:rsidRPr="00817254">
              <w:rPr>
                <w:rFonts w:eastAsia="Times New Roman" w:cs="Arial"/>
                <w:sz w:val="20"/>
                <w:szCs w:val="20"/>
              </w:rPr>
              <w:t>Campo de acción en la transformación social y educativa, mediante lectura dialógica, con textos que brindan validez de argumentos y pretensiones de poder de los participantes. https://comunidadesdeaprendizaje.net/</w:t>
            </w:r>
          </w:p>
        </w:tc>
      </w:tr>
      <w:tr w:rsidR="0011127F" w:rsidRPr="00817254" w14:paraId="6A85FBEA" w14:textId="77777777" w:rsidTr="00626685">
        <w:trPr>
          <w:jc w:val="center"/>
        </w:trPr>
        <w:tc>
          <w:tcPr>
            <w:tcW w:w="9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7396C80"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1C</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104265E" w14:textId="77777777" w:rsidR="0011127F" w:rsidRPr="00817254" w:rsidRDefault="0011127F" w:rsidP="00172AF8">
            <w:pPr>
              <w:spacing w:after="0"/>
              <w:jc w:val="center"/>
              <w:rPr>
                <w:rFonts w:eastAsia="Times New Roman" w:cs="Arial"/>
                <w:color w:val="000000"/>
                <w:sz w:val="20"/>
                <w:szCs w:val="20"/>
                <w:highlight w:val="white"/>
                <w:lang w:val="fr-FR"/>
              </w:rPr>
            </w:pPr>
            <w:r w:rsidRPr="00817254">
              <w:rPr>
                <w:rFonts w:eastAsia="Times New Roman" w:cs="Arial"/>
                <w:color w:val="000000"/>
                <w:sz w:val="20"/>
                <w:szCs w:val="20"/>
                <w:highlight w:val="white"/>
                <w:lang w:val="fr-FR"/>
              </w:rPr>
              <w:t>PARENT NETWORK of Western New York</w:t>
            </w:r>
          </w:p>
        </w:tc>
        <w:tc>
          <w:tcPr>
            <w:tcW w:w="61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740C302" w14:textId="77777777" w:rsidR="0011127F" w:rsidRPr="00817254" w:rsidRDefault="0011127F" w:rsidP="00172AF8">
            <w:pPr>
              <w:spacing w:after="0"/>
              <w:rPr>
                <w:rFonts w:eastAsia="Times New Roman" w:cs="Arial"/>
                <w:sz w:val="20"/>
                <w:szCs w:val="20"/>
              </w:rPr>
            </w:pPr>
            <w:r w:rsidRPr="00817254">
              <w:rPr>
                <w:rFonts w:eastAsia="Times New Roman" w:cs="Arial"/>
                <w:sz w:val="20"/>
                <w:szCs w:val="20"/>
              </w:rPr>
              <w:t>Transmisión de conocimientos de manera remota con servicios de educación especial orientadas a población de pocos recursos y con discapacidades. https://parentnetworkwny.org/support-and-services/promise/</w:t>
            </w:r>
          </w:p>
        </w:tc>
      </w:tr>
      <w:tr w:rsidR="0011127F" w:rsidRPr="00817254" w14:paraId="5268300B" w14:textId="77777777" w:rsidTr="00626685">
        <w:trPr>
          <w:trHeight w:val="1549"/>
          <w:jc w:val="center"/>
        </w:trPr>
        <w:tc>
          <w:tcPr>
            <w:tcW w:w="9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11E3832"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1D</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F5E9720" w14:textId="77777777" w:rsidR="0011127F" w:rsidRPr="00817254" w:rsidRDefault="0011127F" w:rsidP="00172AF8">
            <w:pPr>
              <w:spacing w:after="0"/>
              <w:jc w:val="center"/>
              <w:rPr>
                <w:rFonts w:eastAsia="Times New Roman" w:cs="Arial"/>
                <w:color w:val="000000"/>
                <w:sz w:val="20"/>
                <w:szCs w:val="20"/>
                <w:highlight w:val="white"/>
                <w:lang w:val="fr-FR"/>
              </w:rPr>
            </w:pPr>
            <w:r w:rsidRPr="00817254">
              <w:rPr>
                <w:rFonts w:eastAsia="Times New Roman" w:cs="Arial"/>
                <w:color w:val="000000"/>
                <w:sz w:val="20"/>
                <w:szCs w:val="20"/>
                <w:highlight w:val="white"/>
                <w:lang w:val="fr-FR"/>
              </w:rPr>
              <w:t>KTDRR</w:t>
            </w:r>
          </w:p>
          <w:p w14:paraId="1AD892F9" w14:textId="77777777" w:rsidR="0011127F" w:rsidRPr="00817254" w:rsidRDefault="0011127F" w:rsidP="00172AF8">
            <w:pPr>
              <w:spacing w:after="0"/>
              <w:jc w:val="center"/>
              <w:rPr>
                <w:rFonts w:eastAsia="Times New Roman" w:cs="Arial"/>
                <w:color w:val="000000"/>
                <w:sz w:val="20"/>
                <w:szCs w:val="20"/>
                <w:highlight w:val="white"/>
                <w:lang w:val="fr-FR"/>
              </w:rPr>
            </w:pPr>
            <w:r w:rsidRPr="00817254">
              <w:rPr>
                <w:rFonts w:eastAsia="Times New Roman" w:cs="Arial"/>
                <w:color w:val="000000"/>
                <w:sz w:val="20"/>
                <w:szCs w:val="20"/>
                <w:highlight w:val="white"/>
                <w:lang w:val="fr-FR"/>
              </w:rPr>
              <w:t>Knowledge translation for disability &amp; rehabilitation research</w:t>
            </w:r>
          </w:p>
        </w:tc>
        <w:tc>
          <w:tcPr>
            <w:tcW w:w="61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18B271D" w14:textId="77777777" w:rsidR="0011127F" w:rsidRPr="00817254" w:rsidRDefault="0011127F" w:rsidP="00172AF8">
            <w:pPr>
              <w:spacing w:after="0"/>
              <w:rPr>
                <w:rFonts w:eastAsia="Times New Roman" w:cs="Arial"/>
                <w:sz w:val="20"/>
                <w:szCs w:val="20"/>
              </w:rPr>
            </w:pPr>
            <w:r w:rsidRPr="00817254">
              <w:rPr>
                <w:rFonts w:eastAsia="Times New Roman" w:cs="Arial"/>
                <w:sz w:val="20"/>
                <w:szCs w:val="20"/>
              </w:rPr>
              <w:t>Comunidades que se proyectan en la búsqueda de conocimientos e investigaciones que impacten positivamente a personas con discapacidades. https://ktdrr.org/groups/copedr/index.php</w:t>
            </w:r>
          </w:p>
        </w:tc>
      </w:tr>
      <w:tr w:rsidR="0011127F" w:rsidRPr="00817254" w14:paraId="7F129018" w14:textId="77777777" w:rsidTr="00626685">
        <w:trPr>
          <w:trHeight w:val="744"/>
          <w:jc w:val="center"/>
        </w:trPr>
        <w:tc>
          <w:tcPr>
            <w:tcW w:w="9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207EBCB"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1E</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4ED88DE"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 xml:space="preserve">Portal Educativo </w:t>
            </w:r>
            <w:proofErr w:type="spellStart"/>
            <w:r w:rsidRPr="00817254">
              <w:rPr>
                <w:rFonts w:eastAsia="Times New Roman" w:cs="Arial"/>
                <w:color w:val="000000"/>
                <w:sz w:val="20"/>
                <w:szCs w:val="20"/>
                <w:highlight w:val="white"/>
              </w:rPr>
              <w:t>ScolarTIC</w:t>
            </w:r>
            <w:proofErr w:type="spellEnd"/>
          </w:p>
        </w:tc>
        <w:tc>
          <w:tcPr>
            <w:tcW w:w="61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7A85005" w14:textId="77777777" w:rsidR="0011127F" w:rsidRPr="00817254" w:rsidRDefault="0011127F" w:rsidP="00172AF8">
            <w:pPr>
              <w:spacing w:after="0"/>
              <w:rPr>
                <w:rFonts w:eastAsia="Times New Roman" w:cs="Arial"/>
                <w:sz w:val="20"/>
                <w:szCs w:val="20"/>
              </w:rPr>
            </w:pPr>
            <w:r w:rsidRPr="00817254">
              <w:rPr>
                <w:rFonts w:eastAsia="Times New Roman" w:cs="Arial"/>
                <w:sz w:val="20"/>
                <w:szCs w:val="20"/>
              </w:rPr>
              <w:t>Educación, conocimiento y cultura a través de portales educativos. https://boletines.fundaciontelefonica.com/institucional/scolartic-2/</w:t>
            </w:r>
          </w:p>
        </w:tc>
      </w:tr>
      <w:tr w:rsidR="0011127F" w:rsidRPr="00817254" w14:paraId="7C4D2C13" w14:textId="77777777" w:rsidTr="00626685">
        <w:trPr>
          <w:jc w:val="center"/>
        </w:trPr>
        <w:tc>
          <w:tcPr>
            <w:tcW w:w="940" w:type="dxa"/>
            <w:tcBorders>
              <w:top w:val="single" w:sz="4" w:space="0" w:color="FFFFFF"/>
              <w:left w:val="single" w:sz="4" w:space="0" w:color="FFFFFF" w:themeColor="background1"/>
              <w:right w:val="single" w:sz="4" w:space="0" w:color="FFFFFF" w:themeColor="background1"/>
            </w:tcBorders>
            <w:vAlign w:val="center"/>
          </w:tcPr>
          <w:p w14:paraId="062ED3D5"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lastRenderedPageBreak/>
              <w:t>1F</w:t>
            </w:r>
          </w:p>
        </w:tc>
        <w:tc>
          <w:tcPr>
            <w:tcW w:w="1960" w:type="dxa"/>
            <w:tcBorders>
              <w:top w:val="single" w:sz="4" w:space="0" w:color="FFFFFF"/>
              <w:left w:val="single" w:sz="4" w:space="0" w:color="FFFFFF" w:themeColor="background1"/>
              <w:right w:val="single" w:sz="4" w:space="0" w:color="FFFFFF" w:themeColor="background1"/>
            </w:tcBorders>
            <w:vAlign w:val="center"/>
          </w:tcPr>
          <w:p w14:paraId="4D814BD9"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Madrid, ciencia y tecnología</w:t>
            </w:r>
          </w:p>
        </w:tc>
        <w:tc>
          <w:tcPr>
            <w:tcW w:w="6169" w:type="dxa"/>
            <w:tcBorders>
              <w:top w:val="single" w:sz="4" w:space="0" w:color="FFFFFF"/>
              <w:left w:val="single" w:sz="4" w:space="0" w:color="FFFFFF" w:themeColor="background1"/>
              <w:right w:val="single" w:sz="4" w:space="0" w:color="FFFFFF" w:themeColor="background1"/>
            </w:tcBorders>
          </w:tcPr>
          <w:p w14:paraId="7447A9E2" w14:textId="77777777" w:rsidR="0011127F" w:rsidRPr="00817254" w:rsidRDefault="0011127F" w:rsidP="00172AF8">
            <w:pPr>
              <w:spacing w:after="0"/>
              <w:rPr>
                <w:rFonts w:eastAsia="Times New Roman" w:cs="Arial"/>
                <w:sz w:val="20"/>
                <w:szCs w:val="20"/>
              </w:rPr>
            </w:pPr>
            <w:r w:rsidRPr="00817254">
              <w:rPr>
                <w:rFonts w:eastAsia="Times New Roman" w:cs="Arial"/>
                <w:sz w:val="20"/>
                <w:szCs w:val="20"/>
              </w:rPr>
              <w:t>Integración de comunidades científicas para transmitir conocimiento a universidades y sociedad en general. https://mcyt.educa.madrid.org/madrid-ciencia-tecnologia/indicadores</w:t>
            </w:r>
          </w:p>
        </w:tc>
      </w:tr>
      <w:tr w:rsidR="0011127F" w:rsidRPr="00817254" w14:paraId="196CAECB" w14:textId="77777777" w:rsidTr="00626685">
        <w:trPr>
          <w:jc w:val="center"/>
        </w:trPr>
        <w:tc>
          <w:tcPr>
            <w:tcW w:w="940" w:type="dxa"/>
            <w:tcBorders>
              <w:top w:val="single" w:sz="4" w:space="0" w:color="FFFFFF"/>
              <w:left w:val="single" w:sz="4" w:space="0" w:color="FFFFFF" w:themeColor="background1"/>
              <w:right w:val="single" w:sz="4" w:space="0" w:color="FFFFFF" w:themeColor="background1"/>
            </w:tcBorders>
            <w:vAlign w:val="center"/>
          </w:tcPr>
          <w:p w14:paraId="37A0C12D"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1G</w:t>
            </w:r>
          </w:p>
        </w:tc>
        <w:tc>
          <w:tcPr>
            <w:tcW w:w="1960" w:type="dxa"/>
            <w:tcBorders>
              <w:top w:val="single" w:sz="4" w:space="0" w:color="FFFFFF"/>
              <w:left w:val="single" w:sz="4" w:space="0" w:color="FFFFFF" w:themeColor="background1"/>
              <w:right w:val="single" w:sz="4" w:space="0" w:color="FFFFFF" w:themeColor="background1"/>
            </w:tcBorders>
            <w:vAlign w:val="center"/>
          </w:tcPr>
          <w:p w14:paraId="2D1FA0F5" w14:textId="77777777" w:rsidR="0011127F" w:rsidRPr="00817254" w:rsidRDefault="0011127F" w:rsidP="00172AF8">
            <w:pPr>
              <w:spacing w:after="0"/>
              <w:jc w:val="center"/>
              <w:rPr>
                <w:rFonts w:eastAsia="Times New Roman" w:cs="Arial"/>
                <w:color w:val="000000"/>
                <w:sz w:val="20"/>
                <w:szCs w:val="20"/>
                <w:highlight w:val="white"/>
              </w:rPr>
            </w:pPr>
            <w:r w:rsidRPr="00817254">
              <w:rPr>
                <w:rFonts w:eastAsia="Times New Roman" w:cs="Arial"/>
                <w:color w:val="000000"/>
                <w:sz w:val="20"/>
                <w:szCs w:val="20"/>
                <w:highlight w:val="white"/>
              </w:rPr>
              <w:t>Asociación Europea de Gestión de Operaciones</w:t>
            </w:r>
          </w:p>
          <w:p w14:paraId="316EA707" w14:textId="77777777" w:rsidR="0011127F" w:rsidRPr="00817254" w:rsidRDefault="0011127F" w:rsidP="00172AF8">
            <w:pPr>
              <w:spacing w:after="0"/>
              <w:jc w:val="center"/>
              <w:rPr>
                <w:rFonts w:eastAsia="Times New Roman" w:cs="Arial"/>
                <w:color w:val="000000"/>
                <w:sz w:val="20"/>
                <w:szCs w:val="20"/>
                <w:highlight w:val="white"/>
              </w:rPr>
            </w:pPr>
            <w:proofErr w:type="spellStart"/>
            <w:r w:rsidRPr="00817254">
              <w:rPr>
                <w:rFonts w:eastAsia="Times New Roman" w:cs="Arial"/>
                <w:color w:val="000000"/>
                <w:sz w:val="20"/>
                <w:szCs w:val="20"/>
                <w:highlight w:val="white"/>
              </w:rPr>
              <w:t>EurOMA</w:t>
            </w:r>
            <w:proofErr w:type="spellEnd"/>
          </w:p>
        </w:tc>
        <w:tc>
          <w:tcPr>
            <w:tcW w:w="6169" w:type="dxa"/>
            <w:tcBorders>
              <w:top w:val="single" w:sz="4" w:space="0" w:color="FFFFFF"/>
              <w:left w:val="single" w:sz="4" w:space="0" w:color="FFFFFF" w:themeColor="background1"/>
              <w:right w:val="single" w:sz="4" w:space="0" w:color="FFFFFF" w:themeColor="background1"/>
            </w:tcBorders>
          </w:tcPr>
          <w:p w14:paraId="7D0A9114" w14:textId="77777777" w:rsidR="0011127F" w:rsidRPr="00817254" w:rsidRDefault="0011127F" w:rsidP="00172AF8">
            <w:pPr>
              <w:spacing w:after="0"/>
              <w:rPr>
                <w:rFonts w:eastAsia="Times New Roman" w:cs="Arial"/>
                <w:sz w:val="20"/>
                <w:szCs w:val="20"/>
              </w:rPr>
            </w:pPr>
            <w:r w:rsidRPr="00817254">
              <w:rPr>
                <w:rFonts w:eastAsia="Times New Roman" w:cs="Arial"/>
                <w:color w:val="000000"/>
                <w:sz w:val="20"/>
                <w:szCs w:val="20"/>
                <w:highlight w:val="white"/>
              </w:rPr>
              <w:t xml:space="preserve">Red de académicos y profesionales con el interés de Gestión de Operación y participación de Seminarios de Red educativa de doctorado Europeo (EDEN) (investigación - práctica) </w:t>
            </w:r>
            <w:r w:rsidRPr="00817254">
              <w:rPr>
                <w:rFonts w:eastAsia="Times New Roman" w:cs="Arial"/>
                <w:sz w:val="20"/>
                <w:szCs w:val="20"/>
              </w:rPr>
              <w:t>http://www.euroma-online.org/</w:t>
            </w:r>
          </w:p>
        </w:tc>
      </w:tr>
    </w:tbl>
    <w:p w14:paraId="66C7AF31" w14:textId="18A264E4" w:rsidR="00AD2AE5" w:rsidRPr="00817254" w:rsidRDefault="005B6951" w:rsidP="00AD2AE5">
      <w:pPr>
        <w:autoSpaceDE w:val="0"/>
        <w:autoSpaceDN w:val="0"/>
        <w:adjustRightInd w:val="0"/>
        <w:spacing w:before="240"/>
        <w:rPr>
          <w:rFonts w:eastAsia="Calibri" w:cs="Arial"/>
          <w:b/>
          <w:bCs/>
          <w:lang w:val="es-EC"/>
        </w:rPr>
      </w:pPr>
      <w:r w:rsidRPr="00817254">
        <w:rPr>
          <w:rFonts w:eastAsia="Calibri" w:cs="Arial"/>
          <w:b/>
          <w:bCs/>
          <w:lang w:val="es-EC"/>
        </w:rPr>
        <w:t>RESULTADOS Y DISCU</w:t>
      </w:r>
      <w:r w:rsidR="00C01D26" w:rsidRPr="00817254">
        <w:rPr>
          <w:rFonts w:eastAsia="Calibri" w:cs="Arial"/>
          <w:b/>
          <w:bCs/>
          <w:lang w:val="es-EC"/>
        </w:rPr>
        <w:t>S</w:t>
      </w:r>
      <w:r w:rsidRPr="00817254">
        <w:rPr>
          <w:rFonts w:eastAsia="Calibri" w:cs="Arial"/>
          <w:b/>
          <w:bCs/>
          <w:lang w:val="es-EC"/>
        </w:rPr>
        <w:t>IÓN</w:t>
      </w:r>
    </w:p>
    <w:p w14:paraId="042EBCF4" w14:textId="77777777" w:rsidR="00E65452" w:rsidRPr="00817254" w:rsidRDefault="00E65452" w:rsidP="00172AF8">
      <w:pPr>
        <w:autoSpaceDE w:val="0"/>
        <w:autoSpaceDN w:val="0"/>
        <w:adjustRightInd w:val="0"/>
        <w:spacing w:after="0"/>
        <w:rPr>
          <w:rFonts w:eastAsia="Times New Roman" w:cs="Arial"/>
          <w:bCs/>
          <w:lang w:eastAsia="es-EC"/>
        </w:rPr>
      </w:pPr>
      <w:r w:rsidRPr="00817254">
        <w:rPr>
          <w:rFonts w:cs="Arial"/>
        </w:rPr>
        <w:t xml:space="preserve">Los lineamientos organizacionales para la colaboración en el marco de una comunidad de práctica incluyen la sumatoria de factores como: densidad de la red, percepciones culturales, distribución de la producción, definición de la complejidad y riqueza del </w:t>
      </w:r>
      <w:r w:rsidRPr="00817254">
        <w:rPr>
          <w:rFonts w:eastAsia="Times New Roman" w:cs="Arial"/>
          <w:bCs/>
          <w:lang w:eastAsia="es-EC"/>
        </w:rPr>
        <w:t>conocimiento, cumplimiento del gobierno organizacional y la definición de los roles según el nivel de experticia (Al-</w:t>
      </w:r>
      <w:proofErr w:type="spellStart"/>
      <w:r w:rsidRPr="00817254">
        <w:rPr>
          <w:rFonts w:eastAsia="Times New Roman" w:cs="Arial"/>
          <w:bCs/>
          <w:lang w:eastAsia="es-EC"/>
        </w:rPr>
        <w:t>Shahrani</w:t>
      </w:r>
      <w:proofErr w:type="spellEnd"/>
      <w:r w:rsidRPr="00817254">
        <w:rPr>
          <w:rFonts w:eastAsia="Times New Roman" w:cs="Arial"/>
          <w:bCs/>
          <w:lang w:eastAsia="es-EC"/>
        </w:rPr>
        <w:t xml:space="preserve"> &amp; </w:t>
      </w:r>
      <w:proofErr w:type="spellStart"/>
      <w:r w:rsidRPr="00817254">
        <w:rPr>
          <w:rFonts w:eastAsia="Times New Roman" w:cs="Arial"/>
          <w:bCs/>
          <w:lang w:eastAsia="es-EC"/>
        </w:rPr>
        <w:t>Mohammad</w:t>
      </w:r>
      <w:proofErr w:type="spellEnd"/>
      <w:r w:rsidRPr="00817254">
        <w:rPr>
          <w:rFonts w:eastAsia="Times New Roman" w:cs="Arial"/>
          <w:bCs/>
          <w:lang w:eastAsia="es-EC"/>
        </w:rPr>
        <w:t xml:space="preserve">, 2014). </w:t>
      </w:r>
    </w:p>
    <w:p w14:paraId="5ADCF170" w14:textId="77777777" w:rsidR="00E65452" w:rsidRPr="00817254" w:rsidRDefault="00E65452" w:rsidP="00172AF8">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Por otra parte, la visión constructivista de las diferentes organizaciones se manifiesta mediante sistemas socioculturales redes de relaciones que fundamentan mayoritariamente su identidad en la interacción. De hecho, es a través de los intercambios ordinarios y extraordinarios, formales e informales, que las organizaciones tienen la oportunidad de crecer, definir su identidad y desarrollar sus prácticas (</w:t>
      </w:r>
      <w:proofErr w:type="spellStart"/>
      <w:r w:rsidRPr="00817254">
        <w:rPr>
          <w:rFonts w:eastAsia="Times New Roman" w:cs="Arial"/>
          <w:bCs/>
          <w:lang w:eastAsia="es-EC"/>
        </w:rPr>
        <w:t>Lesser</w:t>
      </w:r>
      <w:proofErr w:type="spellEnd"/>
      <w:r w:rsidRPr="00817254">
        <w:rPr>
          <w:rFonts w:eastAsia="Times New Roman" w:cs="Arial"/>
          <w:bCs/>
          <w:lang w:eastAsia="es-EC"/>
        </w:rPr>
        <w:t xml:space="preserve"> y Everest, 2001).</w:t>
      </w:r>
    </w:p>
    <w:p w14:paraId="21C123E9" w14:textId="5E488B32" w:rsidR="00E65452" w:rsidRPr="00817254" w:rsidRDefault="00E65452" w:rsidP="00172AF8">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 xml:space="preserve">Además, se considera que los factores de éxito para la implantación de esta estrategia de colaboración, se puede clasificar en la gestión, los desafíos para los cuales se </w:t>
      </w:r>
      <w:r w:rsidR="00D23E21" w:rsidRPr="00817254">
        <w:rPr>
          <w:rFonts w:eastAsia="Times New Roman" w:cs="Arial"/>
          <w:bCs/>
          <w:lang w:eastAsia="es-EC"/>
        </w:rPr>
        <w:t>espera</w:t>
      </w:r>
      <w:r w:rsidRPr="00817254">
        <w:rPr>
          <w:rFonts w:eastAsia="Times New Roman" w:cs="Arial"/>
          <w:bCs/>
          <w:lang w:eastAsia="es-EC"/>
        </w:rPr>
        <w:t xml:space="preserve"> obtener el conocimiento, la tecnología y lo personal (</w:t>
      </w:r>
      <w:proofErr w:type="spellStart"/>
      <w:r w:rsidRPr="00817254">
        <w:rPr>
          <w:rFonts w:eastAsia="Times New Roman" w:cs="Arial"/>
          <w:bCs/>
          <w:lang w:eastAsia="es-EC"/>
        </w:rPr>
        <w:t>Jagasia</w:t>
      </w:r>
      <w:proofErr w:type="spellEnd"/>
      <w:r w:rsidRPr="00817254">
        <w:rPr>
          <w:rFonts w:eastAsia="Times New Roman" w:cs="Arial"/>
          <w:bCs/>
          <w:lang w:eastAsia="es-EC"/>
        </w:rPr>
        <w:t xml:space="preserve"> et al., 2015), lo cual se puede abordar desde una dimensión organizacional que permita establecer estrategias y acciones retomando buenas prácticas. </w:t>
      </w:r>
    </w:p>
    <w:p w14:paraId="466EFCD5" w14:textId="77777777" w:rsidR="00E65452" w:rsidRPr="00817254" w:rsidRDefault="00E65452" w:rsidP="00172AF8">
      <w:pPr>
        <w:autoSpaceDE w:val="0"/>
        <w:autoSpaceDN w:val="0"/>
        <w:adjustRightInd w:val="0"/>
        <w:spacing w:after="0"/>
        <w:ind w:firstLine="567"/>
        <w:rPr>
          <w:rFonts w:cs="Arial"/>
        </w:rPr>
      </w:pPr>
      <w:r w:rsidRPr="00817254">
        <w:rPr>
          <w:rFonts w:eastAsia="Times New Roman" w:cs="Arial"/>
          <w:bCs/>
          <w:lang w:eastAsia="es-EC"/>
        </w:rPr>
        <w:t>Por la complejidad e importancia que tiene la dimensión organizacional, se busca destacar las buenas prácticas y algunas consideraciones adoptadas por comunidades de práctica que lo han</w:t>
      </w:r>
      <w:r w:rsidRPr="00817254">
        <w:rPr>
          <w:rFonts w:cs="Arial"/>
        </w:rPr>
        <w:t xml:space="preserve"> reportado o que se puede evidenciar en la revisión de la literatura, los cuales se describen a continuación: </w:t>
      </w:r>
    </w:p>
    <w:p w14:paraId="602E49DE" w14:textId="77777777" w:rsidR="00E65452" w:rsidRPr="00817254" w:rsidRDefault="00E65452" w:rsidP="00172AF8">
      <w:pPr>
        <w:numPr>
          <w:ilvl w:val="0"/>
          <w:numId w:val="20"/>
        </w:numPr>
        <w:pBdr>
          <w:top w:val="nil"/>
          <w:left w:val="nil"/>
          <w:bottom w:val="nil"/>
          <w:right w:val="nil"/>
          <w:between w:val="nil"/>
        </w:pBdr>
        <w:spacing w:before="240" w:after="0" w:line="480" w:lineRule="auto"/>
        <w:ind w:left="284" w:hanging="284"/>
        <w:rPr>
          <w:rFonts w:eastAsia="Times New Roman" w:cs="Arial"/>
          <w:b/>
          <w:color w:val="000000"/>
        </w:rPr>
      </w:pPr>
      <w:bookmarkStart w:id="5" w:name="_heading=h.gjdgxs" w:colFirst="0" w:colLast="0"/>
      <w:bookmarkEnd w:id="5"/>
      <w:r w:rsidRPr="00817254">
        <w:rPr>
          <w:rFonts w:eastAsia="Times New Roman" w:cs="Arial"/>
          <w:b/>
          <w:color w:val="000000"/>
        </w:rPr>
        <w:t xml:space="preserve">Visión sistémica y holística de la organización </w:t>
      </w:r>
    </w:p>
    <w:p w14:paraId="7E7BF6F2" w14:textId="1F00068F" w:rsidR="00E65452" w:rsidRPr="00817254" w:rsidRDefault="00E65452" w:rsidP="00172AF8">
      <w:pPr>
        <w:autoSpaceDE w:val="0"/>
        <w:autoSpaceDN w:val="0"/>
        <w:adjustRightInd w:val="0"/>
        <w:spacing w:after="0"/>
        <w:rPr>
          <w:rFonts w:eastAsia="Times New Roman" w:cs="Arial"/>
          <w:bCs/>
          <w:lang w:eastAsia="es-EC"/>
        </w:rPr>
      </w:pPr>
      <w:r w:rsidRPr="00817254">
        <w:rPr>
          <w:rFonts w:cs="Arial"/>
        </w:rPr>
        <w:t xml:space="preserve">Las </w:t>
      </w:r>
      <w:proofErr w:type="spellStart"/>
      <w:r w:rsidRPr="00817254">
        <w:rPr>
          <w:rFonts w:cs="Arial"/>
        </w:rPr>
        <w:t>CoP</w:t>
      </w:r>
      <w:r w:rsidR="00D23E21" w:rsidRPr="00817254">
        <w:rPr>
          <w:rFonts w:cs="Arial"/>
        </w:rPr>
        <w:t>s</w:t>
      </w:r>
      <w:proofErr w:type="spellEnd"/>
      <w:r w:rsidRPr="00817254">
        <w:rPr>
          <w:rFonts w:cs="Arial"/>
        </w:rPr>
        <w:t xml:space="preserve"> como mecanismos de gestión del conocimiento pueden permitir el análisis sistemático de la organización (</w:t>
      </w:r>
      <w:proofErr w:type="spellStart"/>
      <w:r w:rsidRPr="00817254">
        <w:rPr>
          <w:rFonts w:cs="Arial"/>
        </w:rPr>
        <w:t>Auer</w:t>
      </w:r>
      <w:proofErr w:type="spellEnd"/>
      <w:r w:rsidRPr="00817254">
        <w:rPr>
          <w:rFonts w:cs="Arial"/>
        </w:rPr>
        <w:t xml:space="preserve"> et al., 2020); sin embargo, existen desacuerdos en este postulado (</w:t>
      </w:r>
      <w:proofErr w:type="spellStart"/>
      <w:r w:rsidRPr="00817254">
        <w:rPr>
          <w:rFonts w:cs="Arial"/>
        </w:rPr>
        <w:t>Auer</w:t>
      </w:r>
      <w:proofErr w:type="spellEnd"/>
      <w:r w:rsidRPr="00817254">
        <w:rPr>
          <w:rFonts w:cs="Arial"/>
        </w:rPr>
        <w:t xml:space="preserve"> et al., 2020), pues permiten el mejoramiento de una práctica, un proceso o el aprendizaje </w:t>
      </w:r>
      <w:r w:rsidRPr="00817254">
        <w:rPr>
          <w:rFonts w:eastAsia="Times New Roman" w:cs="Arial"/>
          <w:bCs/>
          <w:lang w:eastAsia="es-EC"/>
        </w:rPr>
        <w:t xml:space="preserve">organizacional frente a una temática; lo anterior implica que la gerencia deberá hacer un esfuerzo en conectar el conocimiento que se produce con la competencia central de la organización. </w:t>
      </w:r>
    </w:p>
    <w:p w14:paraId="27214BC1" w14:textId="7DD28342" w:rsidR="00E65452" w:rsidRPr="00817254" w:rsidRDefault="00E65452" w:rsidP="00172AF8">
      <w:pPr>
        <w:autoSpaceDE w:val="0"/>
        <w:autoSpaceDN w:val="0"/>
        <w:adjustRightInd w:val="0"/>
        <w:spacing w:after="0"/>
        <w:ind w:firstLine="567"/>
        <w:rPr>
          <w:rFonts w:eastAsia="Times New Roman" w:cs="Arial"/>
          <w:bCs/>
          <w:lang w:eastAsia="es-EC"/>
        </w:rPr>
      </w:pPr>
      <w:r w:rsidRPr="00817254">
        <w:rPr>
          <w:rFonts w:eastAsia="Times New Roman" w:cs="Arial"/>
          <w:bCs/>
          <w:lang w:eastAsia="es-EC"/>
        </w:rPr>
        <w:t xml:space="preserve">En efecto, dependerá de los pilares de creación, pues se pueden generar pautas para compartir conocimiento entre las áreas funcionales, como lo han realizado las Pymes para la comprensión de los </w:t>
      </w:r>
      <w:r w:rsidR="00D23E21" w:rsidRPr="00817254">
        <w:rPr>
          <w:rFonts w:eastAsia="Times New Roman" w:cs="Arial"/>
          <w:bCs/>
          <w:lang w:eastAsia="es-EC"/>
        </w:rPr>
        <w:t>usuarios (</w:t>
      </w:r>
      <w:proofErr w:type="spellStart"/>
      <w:r w:rsidRPr="00817254">
        <w:rPr>
          <w:rFonts w:eastAsia="Times New Roman" w:cs="Arial"/>
          <w:bCs/>
          <w:lang w:eastAsia="es-EC"/>
        </w:rPr>
        <w:t>Christensen</w:t>
      </w:r>
      <w:proofErr w:type="spellEnd"/>
      <w:r w:rsidRPr="00817254">
        <w:rPr>
          <w:rFonts w:eastAsia="Times New Roman" w:cs="Arial"/>
          <w:bCs/>
          <w:lang w:eastAsia="es-EC"/>
        </w:rPr>
        <w:t xml:space="preserve">, 2018). Se debe hacer la aclaración que las </w:t>
      </w:r>
      <w:proofErr w:type="spellStart"/>
      <w:r w:rsidRPr="00817254">
        <w:rPr>
          <w:rFonts w:eastAsia="Times New Roman" w:cs="Arial"/>
          <w:bCs/>
          <w:lang w:eastAsia="es-EC"/>
        </w:rPr>
        <w:t>CoP</w:t>
      </w:r>
      <w:r w:rsidR="00D23E21" w:rsidRPr="00817254">
        <w:rPr>
          <w:rFonts w:eastAsia="Times New Roman" w:cs="Arial"/>
          <w:bCs/>
          <w:lang w:eastAsia="es-EC"/>
        </w:rPr>
        <w:t>s</w:t>
      </w:r>
      <w:proofErr w:type="spellEnd"/>
      <w:r w:rsidRPr="00817254">
        <w:rPr>
          <w:rFonts w:eastAsia="Times New Roman" w:cs="Arial"/>
          <w:bCs/>
          <w:lang w:eastAsia="es-EC"/>
        </w:rPr>
        <w:t xml:space="preserve"> tienen efectos en el mejoramiento del trabajo en equipo, la actitud positiva, el mejoramiento desde la identificación de buenas prácticas o aquellas que en su defecto no son aceptadas para la organización y deben ser cambiadas (</w:t>
      </w:r>
      <w:proofErr w:type="spellStart"/>
      <w:r w:rsidRPr="00817254">
        <w:rPr>
          <w:rFonts w:eastAsia="Times New Roman" w:cs="Arial"/>
          <w:bCs/>
          <w:lang w:eastAsia="es-EC"/>
        </w:rPr>
        <w:t>Akinyemi</w:t>
      </w:r>
      <w:proofErr w:type="spellEnd"/>
      <w:r w:rsidRPr="00817254">
        <w:rPr>
          <w:rFonts w:eastAsia="Times New Roman" w:cs="Arial"/>
          <w:bCs/>
          <w:lang w:eastAsia="es-EC"/>
        </w:rPr>
        <w:t xml:space="preserve"> et al., 2019). </w:t>
      </w:r>
    </w:p>
    <w:p w14:paraId="6D3BEC09" w14:textId="27355389" w:rsidR="00E65452" w:rsidRPr="00817254" w:rsidRDefault="00E65452" w:rsidP="00172AF8">
      <w:pPr>
        <w:autoSpaceDE w:val="0"/>
        <w:autoSpaceDN w:val="0"/>
        <w:adjustRightInd w:val="0"/>
        <w:spacing w:after="0"/>
        <w:ind w:firstLine="567"/>
        <w:rPr>
          <w:rFonts w:cs="Arial"/>
        </w:rPr>
      </w:pPr>
      <w:r w:rsidRPr="00817254">
        <w:rPr>
          <w:rFonts w:eastAsia="Times New Roman" w:cs="Arial"/>
          <w:bCs/>
          <w:lang w:eastAsia="es-EC"/>
        </w:rPr>
        <w:t>La especialización del conocimiento no puede generar organizaciones deshumanizadas (</w:t>
      </w:r>
      <w:proofErr w:type="spellStart"/>
      <w:r w:rsidRPr="00817254">
        <w:rPr>
          <w:rFonts w:eastAsia="Times New Roman" w:cs="Arial"/>
          <w:bCs/>
          <w:lang w:eastAsia="es-EC"/>
        </w:rPr>
        <w:t>Roulleaux</w:t>
      </w:r>
      <w:proofErr w:type="spellEnd"/>
      <w:r w:rsidRPr="00817254">
        <w:rPr>
          <w:rFonts w:cs="Arial"/>
        </w:rPr>
        <w:t>, 2008), además mitigar el impacto que generan las mediciones tecnológicas y la codificación de la información, en pro del relacionamiento y la construcción de sentido en el trabajo organizacional. A continuación, algunos de los lineamientos estratégicos que permiten el desarrollo de este principio, desde la exper</w:t>
      </w:r>
      <w:r w:rsidR="00172AF8" w:rsidRPr="00817254">
        <w:rPr>
          <w:rFonts w:cs="Arial"/>
        </w:rPr>
        <w:t xml:space="preserve">iencia de las </w:t>
      </w:r>
      <w:proofErr w:type="spellStart"/>
      <w:r w:rsidR="00172AF8" w:rsidRPr="00817254">
        <w:rPr>
          <w:rFonts w:cs="Arial"/>
        </w:rPr>
        <w:t>CoP</w:t>
      </w:r>
      <w:proofErr w:type="spellEnd"/>
      <w:r w:rsidR="00172AF8" w:rsidRPr="00817254">
        <w:rPr>
          <w:rFonts w:cs="Arial"/>
        </w:rPr>
        <w:t xml:space="preserve"> implementadas.</w:t>
      </w:r>
    </w:p>
    <w:p w14:paraId="43D2829D" w14:textId="77777777" w:rsidR="00172AF8" w:rsidRPr="00817254" w:rsidRDefault="00172AF8" w:rsidP="00172AF8">
      <w:pPr>
        <w:autoSpaceDE w:val="0"/>
        <w:autoSpaceDN w:val="0"/>
        <w:adjustRightInd w:val="0"/>
        <w:spacing w:after="0"/>
        <w:ind w:firstLine="567"/>
        <w:rPr>
          <w:rFonts w:cs="Arial"/>
        </w:rPr>
      </w:pPr>
    </w:p>
    <w:p w14:paraId="27347E34" w14:textId="77777777" w:rsidR="00D74E2F" w:rsidRPr="00D74E2F" w:rsidRDefault="00E65452" w:rsidP="00172AF8">
      <w:pPr>
        <w:pBdr>
          <w:top w:val="nil"/>
          <w:left w:val="nil"/>
          <w:bottom w:val="nil"/>
          <w:right w:val="nil"/>
          <w:between w:val="nil"/>
        </w:pBdr>
        <w:spacing w:after="0"/>
        <w:rPr>
          <w:rFonts w:eastAsia="Times New Roman" w:cs="Arial"/>
          <w:b/>
          <w:color w:val="000000"/>
          <w:sz w:val="20"/>
          <w:szCs w:val="20"/>
        </w:rPr>
      </w:pPr>
      <w:r w:rsidRPr="00D74E2F">
        <w:rPr>
          <w:rFonts w:eastAsia="Times New Roman" w:cs="Arial"/>
          <w:b/>
          <w:color w:val="000000"/>
          <w:sz w:val="20"/>
          <w:szCs w:val="20"/>
        </w:rPr>
        <w:lastRenderedPageBreak/>
        <w:t>Tabla 3</w:t>
      </w:r>
    </w:p>
    <w:p w14:paraId="26075261" w14:textId="17D6D19F" w:rsidR="00E65452" w:rsidRPr="00D74E2F" w:rsidRDefault="00E65452" w:rsidP="00172AF8">
      <w:pPr>
        <w:pBdr>
          <w:top w:val="nil"/>
          <w:left w:val="nil"/>
          <w:bottom w:val="nil"/>
          <w:right w:val="nil"/>
          <w:between w:val="nil"/>
        </w:pBdr>
        <w:spacing w:after="0"/>
        <w:rPr>
          <w:rFonts w:eastAsia="Times New Roman" w:cs="Arial"/>
          <w:i/>
          <w:sz w:val="20"/>
          <w:szCs w:val="20"/>
        </w:rPr>
      </w:pPr>
      <w:r w:rsidRPr="00D74E2F">
        <w:rPr>
          <w:rFonts w:eastAsia="Times New Roman" w:cs="Arial"/>
          <w:i/>
          <w:sz w:val="20"/>
          <w:szCs w:val="20"/>
        </w:rPr>
        <w:t xml:space="preserve">Lineamiento para la visión sistémica y holística de la organización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769"/>
        <w:gridCol w:w="1976"/>
        <w:gridCol w:w="3525"/>
        <w:gridCol w:w="1093"/>
      </w:tblGrid>
      <w:tr w:rsidR="00E65452" w:rsidRPr="00D74E2F" w14:paraId="59EF966D" w14:textId="77777777" w:rsidTr="00172AF8">
        <w:trPr>
          <w:tblHeader/>
        </w:trPr>
        <w:tc>
          <w:tcPr>
            <w:tcW w:w="709" w:type="dxa"/>
            <w:tcBorders>
              <w:left w:val="single" w:sz="6" w:space="0" w:color="FFFFFF" w:themeColor="background1"/>
              <w:right w:val="single" w:sz="6" w:space="0" w:color="FFFFFF" w:themeColor="background1"/>
            </w:tcBorders>
          </w:tcPr>
          <w:p w14:paraId="01F00FC9"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Nº</w:t>
            </w:r>
          </w:p>
        </w:tc>
        <w:tc>
          <w:tcPr>
            <w:tcW w:w="1769" w:type="dxa"/>
            <w:tcBorders>
              <w:left w:val="single" w:sz="6" w:space="0" w:color="FFFFFF" w:themeColor="background1"/>
              <w:right w:val="single" w:sz="6" w:space="0" w:color="FFFFFF" w:themeColor="background1"/>
            </w:tcBorders>
          </w:tcPr>
          <w:p w14:paraId="719A3C80"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 xml:space="preserve">Acciones </w:t>
            </w:r>
          </w:p>
        </w:tc>
        <w:tc>
          <w:tcPr>
            <w:tcW w:w="1976" w:type="dxa"/>
            <w:tcBorders>
              <w:left w:val="single" w:sz="6" w:space="0" w:color="FFFFFF" w:themeColor="background1"/>
              <w:right w:val="single" w:sz="6" w:space="0" w:color="FFFFFF" w:themeColor="background1"/>
            </w:tcBorders>
          </w:tcPr>
          <w:p w14:paraId="450FFA54"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Dominio</w:t>
            </w:r>
          </w:p>
        </w:tc>
        <w:tc>
          <w:tcPr>
            <w:tcW w:w="3525" w:type="dxa"/>
            <w:tcBorders>
              <w:left w:val="single" w:sz="6" w:space="0" w:color="FFFFFF" w:themeColor="background1"/>
              <w:right w:val="single" w:sz="6" w:space="0" w:color="FFFFFF" w:themeColor="background1"/>
            </w:tcBorders>
          </w:tcPr>
          <w:p w14:paraId="110354CA"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Explicación</w:t>
            </w:r>
          </w:p>
        </w:tc>
        <w:tc>
          <w:tcPr>
            <w:tcW w:w="1093" w:type="dxa"/>
            <w:tcBorders>
              <w:left w:val="single" w:sz="6" w:space="0" w:color="FFFFFF" w:themeColor="background1"/>
              <w:right w:val="single" w:sz="6" w:space="0" w:color="FFFFFF" w:themeColor="background1"/>
            </w:tcBorders>
          </w:tcPr>
          <w:p w14:paraId="47D88EEB"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Fuente</w:t>
            </w:r>
          </w:p>
        </w:tc>
      </w:tr>
      <w:tr w:rsidR="00E65452" w:rsidRPr="00D74E2F" w14:paraId="0D556AAD" w14:textId="77777777" w:rsidTr="00626685">
        <w:trPr>
          <w:trHeight w:val="1723"/>
        </w:trPr>
        <w:tc>
          <w:tcPr>
            <w:tcW w:w="709" w:type="dxa"/>
            <w:vMerge w:val="restart"/>
            <w:tcBorders>
              <w:left w:val="single" w:sz="6" w:space="0" w:color="FFFFFF" w:themeColor="background1"/>
              <w:right w:val="single" w:sz="6" w:space="0" w:color="FFFFFF" w:themeColor="background1"/>
            </w:tcBorders>
          </w:tcPr>
          <w:p w14:paraId="576AB142" w14:textId="77777777" w:rsidR="00E65452" w:rsidRPr="00D74E2F" w:rsidRDefault="00E65452" w:rsidP="00172AF8">
            <w:pPr>
              <w:spacing w:after="0"/>
              <w:rPr>
                <w:rFonts w:eastAsia="Times New Roman" w:cs="Arial"/>
                <w:sz w:val="20"/>
                <w:szCs w:val="20"/>
              </w:rPr>
            </w:pPr>
          </w:p>
          <w:p w14:paraId="331F0CC4"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2A</w:t>
            </w:r>
          </w:p>
        </w:tc>
        <w:tc>
          <w:tcPr>
            <w:tcW w:w="1769" w:type="dxa"/>
            <w:vMerge w:val="restart"/>
            <w:tcBorders>
              <w:left w:val="single" w:sz="6" w:space="0" w:color="FFFFFF" w:themeColor="background1"/>
              <w:right w:val="single" w:sz="6" w:space="0" w:color="FFFFFF" w:themeColor="background1"/>
            </w:tcBorders>
          </w:tcPr>
          <w:p w14:paraId="4939823C"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Alinearse como sistema</w:t>
            </w:r>
          </w:p>
        </w:tc>
        <w:tc>
          <w:tcPr>
            <w:tcW w:w="1976" w:type="dxa"/>
            <w:tcBorders>
              <w:left w:val="single" w:sz="6" w:space="0" w:color="FFFFFF" w:themeColor="background1"/>
              <w:bottom w:val="single" w:sz="4" w:space="0" w:color="FFFFFF" w:themeColor="background1"/>
              <w:right w:val="single" w:sz="6" w:space="0" w:color="FFFFFF" w:themeColor="background1"/>
            </w:tcBorders>
          </w:tcPr>
          <w:p w14:paraId="3E46192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Informática médica y la investigación en servicios de salud.</w:t>
            </w:r>
          </w:p>
        </w:tc>
        <w:tc>
          <w:tcPr>
            <w:tcW w:w="3525" w:type="dxa"/>
            <w:tcBorders>
              <w:left w:val="single" w:sz="6" w:space="0" w:color="FFFFFF" w:themeColor="background1"/>
              <w:bottom w:val="single" w:sz="4" w:space="0" w:color="FFFFFF" w:themeColor="background1"/>
              <w:right w:val="single" w:sz="6" w:space="0" w:color="FFFFFF" w:themeColor="background1"/>
            </w:tcBorders>
          </w:tcPr>
          <w:p w14:paraId="60FC19EB" w14:textId="5A9C083F"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Incluir en el diseño los intercambios y el aprendizaje en los diversos niveles; además de permitir que la innovación esté alineada con los incentivos del sistema, los objetivos de liderazgo e infraestructura, con un respaldo en la gestión de la información. </w:t>
            </w:r>
          </w:p>
        </w:tc>
        <w:tc>
          <w:tcPr>
            <w:tcW w:w="1093" w:type="dxa"/>
            <w:tcBorders>
              <w:left w:val="single" w:sz="6" w:space="0" w:color="FFFFFF" w:themeColor="background1"/>
              <w:bottom w:val="single" w:sz="4" w:space="0" w:color="FFFFFF" w:themeColor="background1"/>
              <w:right w:val="single" w:sz="6" w:space="0" w:color="FFFFFF" w:themeColor="background1"/>
            </w:tcBorders>
          </w:tcPr>
          <w:p w14:paraId="427B4010"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(Austin et al., 2021)</w:t>
            </w:r>
          </w:p>
        </w:tc>
      </w:tr>
      <w:tr w:rsidR="00E65452" w:rsidRPr="00D74E2F" w14:paraId="37F5044F" w14:textId="77777777" w:rsidTr="00626685">
        <w:tc>
          <w:tcPr>
            <w:tcW w:w="709" w:type="dxa"/>
            <w:vMerge/>
            <w:tcBorders>
              <w:left w:val="single" w:sz="6" w:space="0" w:color="FFFFFF" w:themeColor="background1"/>
              <w:bottom w:val="single" w:sz="4" w:space="0" w:color="FFFFFF" w:themeColor="background1"/>
              <w:right w:val="single" w:sz="6" w:space="0" w:color="FFFFFF" w:themeColor="background1"/>
            </w:tcBorders>
          </w:tcPr>
          <w:p w14:paraId="20EA1F8E"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769" w:type="dxa"/>
            <w:vMerge/>
            <w:tcBorders>
              <w:left w:val="single" w:sz="6" w:space="0" w:color="FFFFFF" w:themeColor="background1"/>
              <w:bottom w:val="single" w:sz="4" w:space="0" w:color="FFFFFF" w:themeColor="background1"/>
              <w:right w:val="single" w:sz="6" w:space="0" w:color="FFFFFF" w:themeColor="background1"/>
            </w:tcBorders>
          </w:tcPr>
          <w:p w14:paraId="50C9409C"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97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53C07916"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Centros de recursos familiares</w:t>
            </w:r>
          </w:p>
        </w:tc>
        <w:tc>
          <w:tcPr>
            <w:tcW w:w="352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9F227B9"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El empoderamiento desde metas comunes que permiten recuperar la experiencia a todo nivel de la organización. </w:t>
            </w:r>
          </w:p>
        </w:tc>
        <w:tc>
          <w:tcPr>
            <w:tcW w:w="109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9EA98CE"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w:t>
            </w:r>
            <w:proofErr w:type="spellStart"/>
            <w:r w:rsidRPr="00D74E2F">
              <w:rPr>
                <w:rFonts w:eastAsia="Times New Roman" w:cs="Arial"/>
                <w:sz w:val="20"/>
                <w:szCs w:val="20"/>
              </w:rPr>
              <w:t>Mailloux</w:t>
            </w:r>
            <w:proofErr w:type="spellEnd"/>
            <w:r w:rsidRPr="00D74E2F">
              <w:rPr>
                <w:rFonts w:eastAsia="Times New Roman" w:cs="Arial"/>
                <w:sz w:val="20"/>
                <w:szCs w:val="20"/>
              </w:rPr>
              <w:t xml:space="preserve"> &amp; </w:t>
            </w:r>
            <w:proofErr w:type="spellStart"/>
            <w:r w:rsidRPr="00D74E2F">
              <w:rPr>
                <w:rFonts w:eastAsia="Times New Roman" w:cs="Arial"/>
                <w:sz w:val="20"/>
                <w:szCs w:val="20"/>
              </w:rPr>
              <w:t>Lacharité</w:t>
            </w:r>
            <w:proofErr w:type="spellEnd"/>
            <w:r w:rsidRPr="00D74E2F">
              <w:rPr>
                <w:rFonts w:eastAsia="Times New Roman" w:cs="Arial"/>
                <w:sz w:val="20"/>
                <w:szCs w:val="20"/>
              </w:rPr>
              <w:t>, 2020)</w:t>
            </w:r>
          </w:p>
        </w:tc>
      </w:tr>
      <w:tr w:rsidR="00E65452" w:rsidRPr="00D74E2F" w14:paraId="4BCF0484" w14:textId="77777777" w:rsidTr="00626685">
        <w:tc>
          <w:tcPr>
            <w:tcW w:w="709" w:type="dxa"/>
            <w:vMerge w:val="restart"/>
            <w:tcBorders>
              <w:top w:val="single" w:sz="4" w:space="0" w:color="FFFFFF" w:themeColor="background1"/>
              <w:left w:val="single" w:sz="6" w:space="0" w:color="FFFFFF" w:themeColor="background1"/>
              <w:right w:val="single" w:sz="6" w:space="0" w:color="FFFFFF" w:themeColor="background1"/>
            </w:tcBorders>
          </w:tcPr>
          <w:p w14:paraId="4DB30CB6"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2B</w:t>
            </w:r>
          </w:p>
        </w:tc>
        <w:tc>
          <w:tcPr>
            <w:tcW w:w="1769" w:type="dxa"/>
            <w:vMerge w:val="restart"/>
            <w:tcBorders>
              <w:top w:val="single" w:sz="4" w:space="0" w:color="FFFFFF" w:themeColor="background1"/>
              <w:left w:val="single" w:sz="6" w:space="0" w:color="FFFFFF" w:themeColor="background1"/>
              <w:right w:val="single" w:sz="6" w:space="0" w:color="FFFFFF" w:themeColor="background1"/>
            </w:tcBorders>
          </w:tcPr>
          <w:p w14:paraId="68FB7CEE"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Aprendizaje </w:t>
            </w:r>
            <w:proofErr w:type="spellStart"/>
            <w:r w:rsidRPr="00D74E2F">
              <w:rPr>
                <w:rFonts w:eastAsia="Times New Roman" w:cs="Arial"/>
                <w:sz w:val="20"/>
                <w:szCs w:val="20"/>
              </w:rPr>
              <w:t>interorganizacional</w:t>
            </w:r>
            <w:proofErr w:type="spellEnd"/>
            <w:r w:rsidRPr="00D74E2F">
              <w:rPr>
                <w:rFonts w:eastAsia="Times New Roman" w:cs="Arial"/>
                <w:sz w:val="20"/>
                <w:szCs w:val="20"/>
              </w:rPr>
              <w:t xml:space="preserve"> </w:t>
            </w:r>
          </w:p>
        </w:tc>
        <w:tc>
          <w:tcPr>
            <w:tcW w:w="197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2F495FF"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Uso de la información para personal del sector salud</w:t>
            </w:r>
          </w:p>
        </w:tc>
        <w:tc>
          <w:tcPr>
            <w:tcW w:w="352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C2B21D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Situar a la organización en su medio desde un enfoque colaborativo, para aprender de sus éxitos y retos en acciones de mejora. </w:t>
            </w:r>
          </w:p>
        </w:tc>
        <w:tc>
          <w:tcPr>
            <w:tcW w:w="109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2DBD2206" w14:textId="77777777" w:rsidR="00E65452" w:rsidRPr="00D74E2F" w:rsidRDefault="00E65452" w:rsidP="00172AF8">
            <w:pPr>
              <w:spacing w:after="0"/>
              <w:rPr>
                <w:rFonts w:eastAsia="Times New Roman" w:cs="Arial"/>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Jeffs</w:t>
            </w:r>
            <w:proofErr w:type="spellEnd"/>
            <w:r w:rsidRPr="00D74E2F">
              <w:rPr>
                <w:rFonts w:eastAsia="Times New Roman" w:cs="Arial"/>
                <w:color w:val="000000"/>
                <w:sz w:val="20"/>
                <w:szCs w:val="20"/>
              </w:rPr>
              <w:t xml:space="preserve"> et al., 2016)</w:t>
            </w:r>
          </w:p>
        </w:tc>
      </w:tr>
      <w:tr w:rsidR="00E65452" w:rsidRPr="00D74E2F" w14:paraId="5C863667" w14:textId="77777777" w:rsidTr="00626685">
        <w:trPr>
          <w:trHeight w:val="982"/>
        </w:trPr>
        <w:tc>
          <w:tcPr>
            <w:tcW w:w="709" w:type="dxa"/>
            <w:vMerge/>
            <w:tcBorders>
              <w:left w:val="single" w:sz="6" w:space="0" w:color="FFFFFF" w:themeColor="background1"/>
              <w:right w:val="single" w:sz="6" w:space="0" w:color="FFFFFF" w:themeColor="background1"/>
            </w:tcBorders>
          </w:tcPr>
          <w:p w14:paraId="5FED089A"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769" w:type="dxa"/>
            <w:vMerge/>
            <w:tcBorders>
              <w:left w:val="single" w:sz="6" w:space="0" w:color="FFFFFF" w:themeColor="background1"/>
              <w:right w:val="single" w:sz="6" w:space="0" w:color="FFFFFF" w:themeColor="background1"/>
            </w:tcBorders>
          </w:tcPr>
          <w:p w14:paraId="236FF52E"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97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91DBB82"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Educación: emprendimiento internacional </w:t>
            </w:r>
          </w:p>
        </w:tc>
        <w:tc>
          <w:tcPr>
            <w:tcW w:w="352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24AF1CE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Permitir a los colaboradores la participación en la construcción del conocimiento con otras instituciones, con la respectiva valoración y conexión a la estrategia. </w:t>
            </w:r>
          </w:p>
        </w:tc>
        <w:tc>
          <w:tcPr>
            <w:tcW w:w="109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CF3B57C" w14:textId="77777777" w:rsidR="00E65452" w:rsidRPr="00D74E2F" w:rsidRDefault="00E65452" w:rsidP="00172AF8">
            <w:pPr>
              <w:spacing w:after="0"/>
              <w:rPr>
                <w:rFonts w:eastAsia="Times New Roman" w:cs="Arial"/>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Musteen</w:t>
            </w:r>
            <w:proofErr w:type="spellEnd"/>
            <w:r w:rsidRPr="00D74E2F">
              <w:rPr>
                <w:rFonts w:eastAsia="Times New Roman" w:cs="Arial"/>
                <w:color w:val="000000"/>
                <w:sz w:val="20"/>
                <w:szCs w:val="20"/>
              </w:rPr>
              <w:t xml:space="preserve"> et al., 2018)</w:t>
            </w:r>
          </w:p>
        </w:tc>
      </w:tr>
      <w:tr w:rsidR="00E65452" w:rsidRPr="00D74E2F" w14:paraId="659EF8AA" w14:textId="77777777" w:rsidTr="00626685">
        <w:tc>
          <w:tcPr>
            <w:tcW w:w="709" w:type="dxa"/>
            <w:vMerge/>
            <w:tcBorders>
              <w:left w:val="single" w:sz="6" w:space="0" w:color="FFFFFF" w:themeColor="background1"/>
              <w:bottom w:val="single" w:sz="4" w:space="0" w:color="FFFFFF" w:themeColor="background1"/>
              <w:right w:val="single" w:sz="6" w:space="0" w:color="FFFFFF" w:themeColor="background1"/>
            </w:tcBorders>
          </w:tcPr>
          <w:p w14:paraId="23E1FE0A"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769" w:type="dxa"/>
            <w:vMerge/>
            <w:tcBorders>
              <w:left w:val="single" w:sz="6" w:space="0" w:color="FFFFFF" w:themeColor="background1"/>
              <w:bottom w:val="single" w:sz="4" w:space="0" w:color="FFFFFF" w:themeColor="background1"/>
              <w:right w:val="single" w:sz="6" w:space="0" w:color="FFFFFF" w:themeColor="background1"/>
            </w:tcBorders>
          </w:tcPr>
          <w:p w14:paraId="2FDB7956"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97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1CA9875" w14:textId="77777777" w:rsidR="00E65452" w:rsidRPr="00D74E2F" w:rsidRDefault="00E65452" w:rsidP="00172AF8">
            <w:pPr>
              <w:spacing w:after="0"/>
              <w:rPr>
                <w:rFonts w:eastAsia="Times New Roman" w:cs="Arial"/>
                <w:b/>
                <w:sz w:val="20"/>
                <w:szCs w:val="20"/>
              </w:rPr>
            </w:pPr>
            <w:r w:rsidRPr="00D74E2F">
              <w:rPr>
                <w:rFonts w:eastAsia="Times New Roman" w:cs="Arial"/>
                <w:sz w:val="20"/>
                <w:szCs w:val="20"/>
              </w:rPr>
              <w:t>Sistemas integrales de marketing en el sector de TI</w:t>
            </w:r>
          </w:p>
        </w:tc>
        <w:tc>
          <w:tcPr>
            <w:tcW w:w="352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24478D88"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Usar el crowdsourcing, con el fin de ceder actividades mediante la colaboración con externos para la creación de valor.</w:t>
            </w:r>
          </w:p>
        </w:tc>
        <w:tc>
          <w:tcPr>
            <w:tcW w:w="109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80D69C1" w14:textId="77777777" w:rsidR="00E65452" w:rsidRPr="00D74E2F" w:rsidRDefault="00E65452" w:rsidP="00172AF8">
            <w:pPr>
              <w:spacing w:after="0"/>
              <w:rPr>
                <w:rFonts w:eastAsia="Times New Roman" w:cs="Arial"/>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Sztangret</w:t>
            </w:r>
            <w:proofErr w:type="spellEnd"/>
            <w:r w:rsidRPr="00D74E2F">
              <w:rPr>
                <w:rFonts w:eastAsia="Times New Roman" w:cs="Arial"/>
                <w:color w:val="000000"/>
                <w:sz w:val="20"/>
                <w:szCs w:val="20"/>
              </w:rPr>
              <w:t>, 2016)</w:t>
            </w:r>
          </w:p>
        </w:tc>
      </w:tr>
      <w:tr w:rsidR="00E65452" w:rsidRPr="00D74E2F" w14:paraId="33DD5628" w14:textId="77777777" w:rsidTr="00626685">
        <w:trPr>
          <w:trHeight w:val="1141"/>
        </w:trPr>
        <w:tc>
          <w:tcPr>
            <w:tcW w:w="70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EB66CA6"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2C</w:t>
            </w:r>
          </w:p>
        </w:tc>
        <w:tc>
          <w:tcPr>
            <w:tcW w:w="176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5772DC7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Vigilancia estratégica</w:t>
            </w:r>
          </w:p>
        </w:tc>
        <w:tc>
          <w:tcPr>
            <w:tcW w:w="197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C7FC778" w14:textId="77777777" w:rsidR="00E65452" w:rsidRPr="00D74E2F" w:rsidRDefault="00E65452" w:rsidP="00172AF8">
            <w:pPr>
              <w:spacing w:after="0"/>
              <w:rPr>
                <w:rFonts w:eastAsia="Times New Roman" w:cs="Arial"/>
                <w:sz w:val="20"/>
                <w:szCs w:val="20"/>
              </w:rPr>
            </w:pPr>
            <w:proofErr w:type="spellStart"/>
            <w:r w:rsidRPr="00D74E2F">
              <w:rPr>
                <w:rFonts w:eastAsia="Times New Roman" w:cs="Arial"/>
                <w:sz w:val="20"/>
                <w:szCs w:val="20"/>
              </w:rPr>
              <w:t>CoP</w:t>
            </w:r>
            <w:proofErr w:type="spellEnd"/>
            <w:r w:rsidRPr="00D74E2F">
              <w:rPr>
                <w:rFonts w:eastAsia="Times New Roman" w:cs="Arial"/>
                <w:sz w:val="20"/>
                <w:szCs w:val="20"/>
              </w:rPr>
              <w:t xml:space="preserve"> multidimensional- Soporte en seguridad social a menores. </w:t>
            </w:r>
          </w:p>
        </w:tc>
        <w:tc>
          <w:tcPr>
            <w:tcW w:w="352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D14406C"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Analizar los </w:t>
            </w:r>
            <w:proofErr w:type="spellStart"/>
            <w:r w:rsidRPr="00D74E2F">
              <w:rPr>
                <w:rFonts w:eastAsia="Times New Roman" w:cs="Arial"/>
                <w:sz w:val="20"/>
                <w:szCs w:val="20"/>
              </w:rPr>
              <w:t>stakeholders</w:t>
            </w:r>
            <w:proofErr w:type="spellEnd"/>
            <w:r w:rsidRPr="00D74E2F">
              <w:rPr>
                <w:rFonts w:eastAsia="Times New Roman" w:cs="Arial"/>
                <w:sz w:val="20"/>
                <w:szCs w:val="20"/>
              </w:rPr>
              <w:t xml:space="preserve"> a nivel macro, meso y micro como un insumo para la </w:t>
            </w:r>
            <w:proofErr w:type="spellStart"/>
            <w:r w:rsidRPr="00D74E2F">
              <w:rPr>
                <w:rFonts w:eastAsia="Times New Roman" w:cs="Arial"/>
                <w:sz w:val="20"/>
                <w:szCs w:val="20"/>
              </w:rPr>
              <w:t>CoP</w:t>
            </w:r>
            <w:proofErr w:type="spellEnd"/>
            <w:r w:rsidRPr="00D74E2F">
              <w:rPr>
                <w:rFonts w:eastAsia="Times New Roman" w:cs="Arial"/>
                <w:sz w:val="20"/>
                <w:szCs w:val="20"/>
              </w:rPr>
              <w:t xml:space="preserve"> en el diseño de estrategias con impacto. </w:t>
            </w:r>
          </w:p>
        </w:tc>
        <w:tc>
          <w:tcPr>
            <w:tcW w:w="109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CF87CED" w14:textId="77777777" w:rsidR="00E65452" w:rsidRPr="00D74E2F" w:rsidRDefault="00E65452" w:rsidP="00172AF8">
            <w:pPr>
              <w:spacing w:after="0"/>
              <w:rPr>
                <w:rFonts w:eastAsia="Times New Roman" w:cs="Arial"/>
                <w:sz w:val="20"/>
                <w:szCs w:val="20"/>
              </w:rPr>
            </w:pPr>
            <w:r w:rsidRPr="00D74E2F">
              <w:rPr>
                <w:rFonts w:eastAsia="Times New Roman" w:cs="Arial"/>
                <w:color w:val="000000"/>
                <w:sz w:val="20"/>
                <w:szCs w:val="20"/>
              </w:rPr>
              <w:t>(Golden et al., 2019)</w:t>
            </w:r>
          </w:p>
        </w:tc>
      </w:tr>
      <w:tr w:rsidR="00E65452" w:rsidRPr="00D74E2F" w14:paraId="7ED217D9" w14:textId="77777777" w:rsidTr="00626685">
        <w:tc>
          <w:tcPr>
            <w:tcW w:w="709" w:type="dxa"/>
            <w:tcBorders>
              <w:top w:val="single" w:sz="4" w:space="0" w:color="FFFFFF" w:themeColor="background1"/>
              <w:left w:val="single" w:sz="6" w:space="0" w:color="FFFFFF" w:themeColor="background1"/>
              <w:right w:val="single" w:sz="6" w:space="0" w:color="FFFFFF" w:themeColor="background1"/>
            </w:tcBorders>
          </w:tcPr>
          <w:p w14:paraId="4D3F1000"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2D</w:t>
            </w:r>
          </w:p>
        </w:tc>
        <w:tc>
          <w:tcPr>
            <w:tcW w:w="1769" w:type="dxa"/>
            <w:tcBorders>
              <w:top w:val="single" w:sz="4" w:space="0" w:color="FFFFFF" w:themeColor="background1"/>
              <w:left w:val="single" w:sz="6" w:space="0" w:color="FFFFFF" w:themeColor="background1"/>
              <w:right w:val="single" w:sz="6" w:space="0" w:color="FFFFFF" w:themeColor="background1"/>
            </w:tcBorders>
          </w:tcPr>
          <w:p w14:paraId="0755B72E"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Trabajo interdisciplinario</w:t>
            </w:r>
          </w:p>
        </w:tc>
        <w:tc>
          <w:tcPr>
            <w:tcW w:w="1976" w:type="dxa"/>
            <w:tcBorders>
              <w:top w:val="single" w:sz="4" w:space="0" w:color="FFFFFF" w:themeColor="background1"/>
              <w:left w:val="single" w:sz="6" w:space="0" w:color="FFFFFF" w:themeColor="background1"/>
              <w:right w:val="single" w:sz="6" w:space="0" w:color="FFFFFF" w:themeColor="background1"/>
            </w:tcBorders>
          </w:tcPr>
          <w:p w14:paraId="7E6117C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Informática médica y la investigación en servicios de salud.</w:t>
            </w:r>
          </w:p>
        </w:tc>
        <w:tc>
          <w:tcPr>
            <w:tcW w:w="3525" w:type="dxa"/>
            <w:tcBorders>
              <w:top w:val="single" w:sz="4" w:space="0" w:color="FFFFFF" w:themeColor="background1"/>
              <w:left w:val="single" w:sz="6" w:space="0" w:color="FFFFFF" w:themeColor="background1"/>
              <w:right w:val="single" w:sz="6" w:space="0" w:color="FFFFFF" w:themeColor="background1"/>
            </w:tcBorders>
          </w:tcPr>
          <w:p w14:paraId="6DD94238"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Involucrar a los equipos interdisciplinarios a lo largo del proceso de diseño, implementación y evaluación de la innovación. </w:t>
            </w:r>
          </w:p>
        </w:tc>
        <w:tc>
          <w:tcPr>
            <w:tcW w:w="1093" w:type="dxa"/>
            <w:tcBorders>
              <w:top w:val="single" w:sz="4" w:space="0" w:color="FFFFFF" w:themeColor="background1"/>
              <w:left w:val="single" w:sz="6" w:space="0" w:color="FFFFFF" w:themeColor="background1"/>
              <w:right w:val="single" w:sz="6" w:space="0" w:color="FFFFFF" w:themeColor="background1"/>
            </w:tcBorders>
          </w:tcPr>
          <w:p w14:paraId="42CE48F8" w14:textId="77777777" w:rsidR="00E65452" w:rsidRPr="00D74E2F" w:rsidRDefault="00E65452" w:rsidP="00172AF8">
            <w:pPr>
              <w:spacing w:after="0"/>
              <w:rPr>
                <w:rFonts w:eastAsia="Times New Roman" w:cs="Arial"/>
                <w:sz w:val="20"/>
                <w:szCs w:val="20"/>
              </w:rPr>
            </w:pPr>
            <w:r w:rsidRPr="00D74E2F">
              <w:rPr>
                <w:rFonts w:eastAsia="Times New Roman" w:cs="Arial"/>
                <w:color w:val="000000"/>
                <w:sz w:val="20"/>
                <w:szCs w:val="20"/>
              </w:rPr>
              <w:t>(Austin et al., 2021)</w:t>
            </w:r>
          </w:p>
        </w:tc>
      </w:tr>
    </w:tbl>
    <w:p w14:paraId="13E2A3FB" w14:textId="77777777" w:rsidR="00E65452" w:rsidRPr="00817254" w:rsidRDefault="00E65452" w:rsidP="00172AF8">
      <w:pPr>
        <w:spacing w:before="240" w:after="0"/>
        <w:rPr>
          <w:rFonts w:eastAsia="Times New Roman" w:cs="Arial"/>
          <w:b/>
        </w:rPr>
      </w:pPr>
      <w:r w:rsidRPr="00817254">
        <w:rPr>
          <w:rFonts w:eastAsia="Times New Roman" w:cs="Arial"/>
          <w:b/>
        </w:rPr>
        <w:t>2. Definición de apuestas transversales (planteamientos estratégicos-políticas, gobierno aplicado)</w:t>
      </w:r>
    </w:p>
    <w:p w14:paraId="00F569C0" w14:textId="77777777" w:rsidR="00D23E21" w:rsidRPr="00817254" w:rsidRDefault="00D23E21" w:rsidP="00D23E21">
      <w:pPr>
        <w:spacing w:after="0"/>
        <w:rPr>
          <w:rFonts w:eastAsia="Times New Roman" w:cs="Arial"/>
        </w:rPr>
      </w:pPr>
    </w:p>
    <w:p w14:paraId="0322B2B7" w14:textId="2E9E10C0" w:rsidR="00E65452" w:rsidRPr="00817254" w:rsidRDefault="00E65452" w:rsidP="00D23E21">
      <w:pPr>
        <w:spacing w:after="0"/>
        <w:rPr>
          <w:rFonts w:eastAsia="Times New Roman" w:cs="Arial"/>
        </w:rPr>
      </w:pPr>
      <w:r w:rsidRPr="00817254">
        <w:rPr>
          <w:rFonts w:eastAsia="Times New Roman" w:cs="Arial"/>
        </w:rPr>
        <w:t xml:space="preserve">La colaboración en línea puede partir de una estrategia que responde al cumplimiento de un objetivo en particular; sin embargo, el principio superior permite la inmersión en el entorno inmediato, centrando la atención de los participantes en el impacto que tienen sus acciones, en la comunidad en la que colaboran </w:t>
      </w:r>
      <w:r w:rsidRPr="00817254">
        <w:rPr>
          <w:rFonts w:eastAsia="Times New Roman" w:cs="Arial"/>
          <w:color w:val="000000"/>
        </w:rPr>
        <w:t>(Vieira, 2019)</w:t>
      </w:r>
      <w:r w:rsidRPr="00817254">
        <w:rPr>
          <w:rFonts w:eastAsia="Times New Roman" w:cs="Arial"/>
        </w:rPr>
        <w:t xml:space="preserve">, además de la intención de tener un soporte y la participación en la toma de decisiones estratégicas, al vincular los resultados que se producen en la comunidad como un apoyo a los procesos de cambio </w:t>
      </w:r>
      <w:r w:rsidRPr="00817254">
        <w:rPr>
          <w:rFonts w:eastAsia="Times New Roman" w:cs="Arial"/>
          <w:color w:val="000000"/>
        </w:rPr>
        <w:t>(</w:t>
      </w:r>
      <w:proofErr w:type="spellStart"/>
      <w:r w:rsidRPr="00817254">
        <w:rPr>
          <w:rFonts w:eastAsia="Times New Roman" w:cs="Arial"/>
          <w:color w:val="000000"/>
        </w:rPr>
        <w:t>Auer</w:t>
      </w:r>
      <w:proofErr w:type="spellEnd"/>
      <w:r w:rsidRPr="00817254">
        <w:rPr>
          <w:rFonts w:eastAsia="Times New Roman" w:cs="Arial"/>
          <w:color w:val="000000"/>
        </w:rPr>
        <w:t xml:space="preserve"> et al., 2020)</w:t>
      </w:r>
      <w:r w:rsidRPr="00817254">
        <w:rPr>
          <w:rFonts w:eastAsia="Times New Roman" w:cs="Arial"/>
        </w:rPr>
        <w:t>.</w:t>
      </w:r>
    </w:p>
    <w:p w14:paraId="4CC1E7CD" w14:textId="77777777" w:rsidR="00E65452" w:rsidRPr="00817254" w:rsidRDefault="00E65452" w:rsidP="00172AF8">
      <w:pPr>
        <w:autoSpaceDE w:val="0"/>
        <w:autoSpaceDN w:val="0"/>
        <w:adjustRightInd w:val="0"/>
        <w:spacing w:after="0"/>
        <w:ind w:firstLine="567"/>
        <w:rPr>
          <w:rFonts w:eastAsia="Times New Roman" w:cs="Arial"/>
        </w:rPr>
      </w:pPr>
      <w:r w:rsidRPr="00817254">
        <w:rPr>
          <w:rFonts w:eastAsia="Times New Roman" w:cs="Arial"/>
        </w:rPr>
        <w:t>Las competencias gerenciales para movilizar la capacidad individual en el logro de metas colectivas (</w:t>
      </w:r>
      <w:proofErr w:type="spellStart"/>
      <w:r w:rsidRPr="00817254">
        <w:rPr>
          <w:rFonts w:eastAsia="Times New Roman" w:cs="Arial"/>
        </w:rPr>
        <w:t>Roulleaux</w:t>
      </w:r>
      <w:proofErr w:type="spellEnd"/>
      <w:r w:rsidRPr="00817254">
        <w:rPr>
          <w:rFonts w:eastAsia="Times New Roman" w:cs="Arial"/>
        </w:rPr>
        <w:t>, 2008), se soporta en cultura organizacional que valora el conocimiento que permite el aprendizaje desde el error y la sistematización de las prácticas, con resultados en la innovación que permite el posicionamiento y el desarrollo de las actividades misionales (</w:t>
      </w:r>
      <w:proofErr w:type="spellStart"/>
      <w:r w:rsidRPr="00817254">
        <w:rPr>
          <w:rFonts w:eastAsia="Times New Roman" w:cs="Arial"/>
        </w:rPr>
        <w:t>Bertolazo</w:t>
      </w:r>
      <w:proofErr w:type="spellEnd"/>
      <w:r w:rsidRPr="00817254">
        <w:rPr>
          <w:rFonts w:eastAsia="Times New Roman" w:cs="Arial"/>
        </w:rPr>
        <w:t xml:space="preserve"> et al., 2020). </w:t>
      </w:r>
    </w:p>
    <w:p w14:paraId="45E68853" w14:textId="3A2E10BB" w:rsidR="00E65452" w:rsidRDefault="00E65452" w:rsidP="00E65452">
      <w:pPr>
        <w:pBdr>
          <w:top w:val="nil"/>
          <w:left w:val="nil"/>
          <w:bottom w:val="nil"/>
          <w:right w:val="nil"/>
          <w:between w:val="nil"/>
        </w:pBdr>
        <w:rPr>
          <w:rFonts w:ascii="Times New Roman" w:eastAsia="Times New Roman" w:hAnsi="Times New Roman" w:cs="Times New Roman"/>
          <w:b/>
          <w:sz w:val="24"/>
          <w:szCs w:val="24"/>
        </w:rPr>
      </w:pPr>
    </w:p>
    <w:p w14:paraId="1444B9AB" w14:textId="03D834CB" w:rsidR="00626685" w:rsidRDefault="00626685" w:rsidP="00E65452">
      <w:pPr>
        <w:pBdr>
          <w:top w:val="nil"/>
          <w:left w:val="nil"/>
          <w:bottom w:val="nil"/>
          <w:right w:val="nil"/>
          <w:between w:val="nil"/>
        </w:pBdr>
        <w:rPr>
          <w:rFonts w:ascii="Times New Roman" w:eastAsia="Times New Roman" w:hAnsi="Times New Roman" w:cs="Times New Roman"/>
          <w:b/>
          <w:sz w:val="24"/>
          <w:szCs w:val="24"/>
        </w:rPr>
      </w:pPr>
    </w:p>
    <w:p w14:paraId="3AB115D7" w14:textId="6CB4987F" w:rsidR="00626685" w:rsidRDefault="00E65452" w:rsidP="00172AF8">
      <w:pPr>
        <w:pBdr>
          <w:top w:val="nil"/>
          <w:left w:val="nil"/>
          <w:bottom w:val="nil"/>
          <w:right w:val="nil"/>
          <w:between w:val="nil"/>
        </w:pBdr>
        <w:spacing w:after="0"/>
        <w:rPr>
          <w:rFonts w:eastAsia="Times New Roman" w:cs="Arial"/>
          <w:b/>
          <w:color w:val="000000"/>
          <w:sz w:val="20"/>
        </w:rPr>
      </w:pPr>
      <w:r w:rsidRPr="00817254">
        <w:rPr>
          <w:rFonts w:eastAsia="Times New Roman" w:cs="Arial"/>
          <w:b/>
          <w:color w:val="000000"/>
          <w:sz w:val="20"/>
        </w:rPr>
        <w:lastRenderedPageBreak/>
        <w:t>Tabla 4</w:t>
      </w:r>
      <w:r w:rsidR="00D23E21" w:rsidRPr="00817254">
        <w:rPr>
          <w:rFonts w:eastAsia="Times New Roman" w:cs="Arial"/>
          <w:b/>
          <w:color w:val="000000"/>
          <w:sz w:val="20"/>
        </w:rPr>
        <w:t xml:space="preserve"> </w:t>
      </w:r>
    </w:p>
    <w:p w14:paraId="436FCE9D" w14:textId="704FA670" w:rsidR="00E65452" w:rsidRPr="00626685" w:rsidRDefault="00E65452" w:rsidP="00172AF8">
      <w:pPr>
        <w:pBdr>
          <w:top w:val="nil"/>
          <w:left w:val="nil"/>
          <w:bottom w:val="nil"/>
          <w:right w:val="nil"/>
          <w:between w:val="nil"/>
        </w:pBdr>
        <w:spacing w:after="0"/>
        <w:rPr>
          <w:rFonts w:eastAsia="Times New Roman" w:cs="Arial"/>
          <w:i/>
          <w:sz w:val="20"/>
        </w:rPr>
      </w:pPr>
      <w:r w:rsidRPr="00626685">
        <w:rPr>
          <w:rFonts w:eastAsia="Times New Roman" w:cs="Arial"/>
          <w:i/>
          <w:sz w:val="20"/>
        </w:rPr>
        <w:t>Lineamientos para la definición de apuestas transversales</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701"/>
        <w:gridCol w:w="1927"/>
        <w:gridCol w:w="3461"/>
        <w:gridCol w:w="1274"/>
      </w:tblGrid>
      <w:tr w:rsidR="00E65452" w:rsidRPr="00817254" w14:paraId="6FB76E9F" w14:textId="77777777" w:rsidTr="00172AF8">
        <w:trPr>
          <w:tblHeader/>
        </w:trPr>
        <w:tc>
          <w:tcPr>
            <w:tcW w:w="709" w:type="dxa"/>
            <w:tcBorders>
              <w:left w:val="single" w:sz="6" w:space="0" w:color="FFFFFF" w:themeColor="background1"/>
              <w:right w:val="single" w:sz="6" w:space="0" w:color="FFFFFF" w:themeColor="background1"/>
            </w:tcBorders>
          </w:tcPr>
          <w:p w14:paraId="0E477842"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Nº</w:t>
            </w:r>
          </w:p>
        </w:tc>
        <w:tc>
          <w:tcPr>
            <w:tcW w:w="1701" w:type="dxa"/>
            <w:tcBorders>
              <w:left w:val="single" w:sz="6" w:space="0" w:color="FFFFFF" w:themeColor="background1"/>
              <w:right w:val="single" w:sz="6" w:space="0" w:color="FFFFFF" w:themeColor="background1"/>
            </w:tcBorders>
          </w:tcPr>
          <w:p w14:paraId="66DD2350" w14:textId="77777777" w:rsidR="00E65452" w:rsidRPr="00817254" w:rsidRDefault="00E65452" w:rsidP="00172AF8">
            <w:pPr>
              <w:spacing w:after="0"/>
              <w:rPr>
                <w:rFonts w:eastAsia="Times New Roman" w:cs="Arial"/>
                <w:b/>
                <w:sz w:val="20"/>
                <w:szCs w:val="20"/>
              </w:rPr>
            </w:pPr>
            <w:r w:rsidRPr="00817254">
              <w:rPr>
                <w:rFonts w:eastAsia="Times New Roman" w:cs="Arial"/>
                <w:b/>
                <w:sz w:val="20"/>
                <w:szCs w:val="20"/>
              </w:rPr>
              <w:t xml:space="preserve">Acciones </w:t>
            </w:r>
          </w:p>
        </w:tc>
        <w:tc>
          <w:tcPr>
            <w:tcW w:w="1927" w:type="dxa"/>
            <w:tcBorders>
              <w:left w:val="single" w:sz="6" w:space="0" w:color="FFFFFF" w:themeColor="background1"/>
              <w:right w:val="single" w:sz="6" w:space="0" w:color="FFFFFF" w:themeColor="background1"/>
            </w:tcBorders>
          </w:tcPr>
          <w:p w14:paraId="4CA09BC3" w14:textId="77777777" w:rsidR="00E65452" w:rsidRPr="00817254" w:rsidRDefault="00E65452" w:rsidP="00172AF8">
            <w:pPr>
              <w:spacing w:after="0"/>
              <w:rPr>
                <w:rFonts w:eastAsia="Times New Roman" w:cs="Arial"/>
                <w:b/>
                <w:sz w:val="20"/>
                <w:szCs w:val="20"/>
              </w:rPr>
            </w:pPr>
            <w:r w:rsidRPr="00817254">
              <w:rPr>
                <w:rFonts w:eastAsia="Times New Roman" w:cs="Arial"/>
                <w:b/>
                <w:sz w:val="20"/>
                <w:szCs w:val="20"/>
              </w:rPr>
              <w:t>Dominio</w:t>
            </w:r>
          </w:p>
        </w:tc>
        <w:tc>
          <w:tcPr>
            <w:tcW w:w="3461" w:type="dxa"/>
            <w:tcBorders>
              <w:left w:val="single" w:sz="6" w:space="0" w:color="FFFFFF" w:themeColor="background1"/>
              <w:right w:val="single" w:sz="6" w:space="0" w:color="FFFFFF" w:themeColor="background1"/>
            </w:tcBorders>
          </w:tcPr>
          <w:p w14:paraId="488470AA" w14:textId="77777777" w:rsidR="00E65452" w:rsidRPr="00817254" w:rsidRDefault="00E65452" w:rsidP="00172AF8">
            <w:pPr>
              <w:spacing w:after="0"/>
              <w:rPr>
                <w:rFonts w:eastAsia="Times New Roman" w:cs="Arial"/>
                <w:b/>
                <w:sz w:val="20"/>
                <w:szCs w:val="20"/>
              </w:rPr>
            </w:pPr>
            <w:r w:rsidRPr="00817254">
              <w:rPr>
                <w:rFonts w:eastAsia="Times New Roman" w:cs="Arial"/>
                <w:b/>
                <w:sz w:val="20"/>
                <w:szCs w:val="20"/>
              </w:rPr>
              <w:t>Explicación</w:t>
            </w:r>
          </w:p>
        </w:tc>
        <w:tc>
          <w:tcPr>
            <w:tcW w:w="1274" w:type="dxa"/>
            <w:tcBorders>
              <w:left w:val="single" w:sz="6" w:space="0" w:color="FFFFFF" w:themeColor="background1"/>
              <w:right w:val="single" w:sz="6" w:space="0" w:color="FFFFFF" w:themeColor="background1"/>
            </w:tcBorders>
          </w:tcPr>
          <w:p w14:paraId="1BE30805" w14:textId="77777777" w:rsidR="00E65452" w:rsidRPr="00817254" w:rsidRDefault="00E65452" w:rsidP="00172AF8">
            <w:pPr>
              <w:spacing w:after="0"/>
              <w:rPr>
                <w:rFonts w:eastAsia="Times New Roman" w:cs="Arial"/>
                <w:b/>
                <w:sz w:val="20"/>
                <w:szCs w:val="20"/>
              </w:rPr>
            </w:pPr>
            <w:r w:rsidRPr="00817254">
              <w:rPr>
                <w:rFonts w:eastAsia="Times New Roman" w:cs="Arial"/>
                <w:b/>
                <w:sz w:val="20"/>
                <w:szCs w:val="20"/>
              </w:rPr>
              <w:t>Fuente</w:t>
            </w:r>
          </w:p>
        </w:tc>
      </w:tr>
      <w:tr w:rsidR="00E65452" w:rsidRPr="00817254" w14:paraId="4F14DA9F" w14:textId="77777777" w:rsidTr="00626685">
        <w:tc>
          <w:tcPr>
            <w:tcW w:w="709" w:type="dxa"/>
            <w:vMerge w:val="restart"/>
            <w:tcBorders>
              <w:left w:val="single" w:sz="6" w:space="0" w:color="FFFFFF" w:themeColor="background1"/>
              <w:right w:val="single" w:sz="6" w:space="0" w:color="FFFFFF" w:themeColor="background1"/>
            </w:tcBorders>
          </w:tcPr>
          <w:p w14:paraId="6B1BBC8D"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3A</w:t>
            </w:r>
          </w:p>
        </w:tc>
        <w:tc>
          <w:tcPr>
            <w:tcW w:w="1701" w:type="dxa"/>
            <w:vMerge w:val="restart"/>
            <w:tcBorders>
              <w:left w:val="single" w:sz="6" w:space="0" w:color="FFFFFF" w:themeColor="background1"/>
              <w:right w:val="single" w:sz="6" w:space="0" w:color="FFFFFF" w:themeColor="background1"/>
            </w:tcBorders>
          </w:tcPr>
          <w:p w14:paraId="221D518E"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Segmentación</w:t>
            </w:r>
          </w:p>
        </w:tc>
        <w:tc>
          <w:tcPr>
            <w:tcW w:w="1927" w:type="dxa"/>
            <w:tcBorders>
              <w:left w:val="single" w:sz="6" w:space="0" w:color="FFFFFF" w:themeColor="background1"/>
              <w:bottom w:val="single" w:sz="4" w:space="0" w:color="FFFFFF"/>
              <w:right w:val="single" w:sz="6" w:space="0" w:color="FFFFFF" w:themeColor="background1"/>
            </w:tcBorders>
          </w:tcPr>
          <w:p w14:paraId="59CE7074"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Formación posdoctoral en </w:t>
            </w:r>
            <w:proofErr w:type="spellStart"/>
            <w:r w:rsidRPr="00817254">
              <w:rPr>
                <w:rFonts w:eastAsia="Times New Roman" w:cs="Arial"/>
                <w:sz w:val="20"/>
                <w:szCs w:val="20"/>
              </w:rPr>
              <w:t>literacidad</w:t>
            </w:r>
            <w:proofErr w:type="spellEnd"/>
            <w:r w:rsidRPr="00817254">
              <w:rPr>
                <w:rFonts w:eastAsia="Times New Roman" w:cs="Arial"/>
                <w:sz w:val="20"/>
                <w:szCs w:val="20"/>
              </w:rPr>
              <w:t xml:space="preserve"> científica</w:t>
            </w:r>
          </w:p>
        </w:tc>
        <w:tc>
          <w:tcPr>
            <w:tcW w:w="3461" w:type="dxa"/>
            <w:tcBorders>
              <w:left w:val="single" w:sz="6" w:space="0" w:color="FFFFFF" w:themeColor="background1"/>
              <w:bottom w:val="single" w:sz="4" w:space="0" w:color="FFFFFF"/>
              <w:right w:val="single" w:sz="6" w:space="0" w:color="FFFFFF" w:themeColor="background1"/>
            </w:tcBorders>
          </w:tcPr>
          <w:p w14:paraId="5FBCF100"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Definir grupos homogéneos sin divisiones invisibles que dificulten la colaboración. Se otorgan igualdad de condiciones. </w:t>
            </w:r>
          </w:p>
        </w:tc>
        <w:tc>
          <w:tcPr>
            <w:tcW w:w="1274" w:type="dxa"/>
            <w:tcBorders>
              <w:left w:val="single" w:sz="6" w:space="0" w:color="FFFFFF" w:themeColor="background1"/>
              <w:bottom w:val="single" w:sz="4" w:space="0" w:color="FFFFFF"/>
              <w:right w:val="single" w:sz="6" w:space="0" w:color="FFFFFF" w:themeColor="background1"/>
            </w:tcBorders>
          </w:tcPr>
          <w:p w14:paraId="6E766530" w14:textId="77777777" w:rsidR="00E65452" w:rsidRPr="00817254" w:rsidRDefault="00E65452" w:rsidP="00172AF8">
            <w:pPr>
              <w:spacing w:after="0"/>
              <w:rPr>
                <w:rFonts w:eastAsia="Times New Roman" w:cs="Arial"/>
                <w:color w:val="000000"/>
                <w:sz w:val="20"/>
                <w:szCs w:val="20"/>
              </w:rPr>
            </w:pPr>
            <w:r w:rsidRPr="00817254">
              <w:rPr>
                <w:rFonts w:eastAsia="Times New Roman" w:cs="Arial"/>
                <w:color w:val="000000"/>
                <w:sz w:val="20"/>
                <w:szCs w:val="20"/>
              </w:rPr>
              <w:t>(Roberts, 2021)</w:t>
            </w:r>
          </w:p>
        </w:tc>
      </w:tr>
      <w:tr w:rsidR="00E65452" w:rsidRPr="00817254" w14:paraId="6122BA23" w14:textId="77777777" w:rsidTr="00626685">
        <w:tc>
          <w:tcPr>
            <w:tcW w:w="709" w:type="dxa"/>
            <w:vMerge/>
            <w:tcBorders>
              <w:left w:val="single" w:sz="6" w:space="0" w:color="FFFFFF" w:themeColor="background1"/>
              <w:right w:val="single" w:sz="6" w:space="0" w:color="FFFFFF" w:themeColor="background1"/>
            </w:tcBorders>
          </w:tcPr>
          <w:p w14:paraId="6E13ED16" w14:textId="77777777" w:rsidR="00E65452" w:rsidRPr="00817254"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701" w:type="dxa"/>
            <w:vMerge/>
            <w:tcBorders>
              <w:left w:val="single" w:sz="6" w:space="0" w:color="FFFFFF" w:themeColor="background1"/>
              <w:right w:val="single" w:sz="6" w:space="0" w:color="FFFFFF" w:themeColor="background1"/>
            </w:tcBorders>
          </w:tcPr>
          <w:p w14:paraId="0D7B5158" w14:textId="77777777" w:rsidR="00E65452" w:rsidRPr="00817254"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927" w:type="dxa"/>
            <w:tcBorders>
              <w:top w:val="single" w:sz="4" w:space="0" w:color="FFFFFF"/>
              <w:left w:val="single" w:sz="6" w:space="0" w:color="FFFFFF" w:themeColor="background1"/>
              <w:bottom w:val="single" w:sz="4" w:space="0" w:color="FFFFFF"/>
              <w:right w:val="single" w:sz="6" w:space="0" w:color="FFFFFF" w:themeColor="background1"/>
            </w:tcBorders>
          </w:tcPr>
          <w:p w14:paraId="4EEC4342"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Atención primaria: campo médico</w:t>
            </w:r>
          </w:p>
        </w:tc>
        <w:tc>
          <w:tcPr>
            <w:tcW w:w="3461" w:type="dxa"/>
            <w:tcBorders>
              <w:top w:val="single" w:sz="4" w:space="0" w:color="FFFFFF"/>
              <w:left w:val="single" w:sz="6" w:space="0" w:color="FFFFFF" w:themeColor="background1"/>
              <w:bottom w:val="single" w:sz="4" w:space="0" w:color="FFFFFF"/>
              <w:right w:val="single" w:sz="6" w:space="0" w:color="FFFFFF" w:themeColor="background1"/>
            </w:tcBorders>
          </w:tcPr>
          <w:p w14:paraId="58DD0DD9"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Estructurar subgrupos que permitan el acompañamiento y formación a nuevos integrantes. </w:t>
            </w:r>
          </w:p>
        </w:tc>
        <w:tc>
          <w:tcPr>
            <w:tcW w:w="1274" w:type="dxa"/>
            <w:tcBorders>
              <w:top w:val="single" w:sz="4" w:space="0" w:color="FFFFFF"/>
              <w:left w:val="single" w:sz="6" w:space="0" w:color="FFFFFF" w:themeColor="background1"/>
              <w:bottom w:val="single" w:sz="4" w:space="0" w:color="FFFFFF"/>
              <w:right w:val="single" w:sz="6" w:space="0" w:color="FFFFFF" w:themeColor="background1"/>
            </w:tcBorders>
          </w:tcPr>
          <w:p w14:paraId="336913A0" w14:textId="77777777" w:rsidR="00E65452" w:rsidRPr="00817254" w:rsidRDefault="00E65452" w:rsidP="00172AF8">
            <w:pPr>
              <w:spacing w:after="0"/>
              <w:rPr>
                <w:rFonts w:eastAsia="Times New Roman" w:cs="Arial"/>
                <w:color w:val="000000"/>
                <w:sz w:val="20"/>
                <w:szCs w:val="20"/>
              </w:rPr>
            </w:pPr>
            <w:r w:rsidRPr="00817254">
              <w:rPr>
                <w:rFonts w:eastAsia="Times New Roman" w:cs="Arial"/>
                <w:color w:val="000000"/>
                <w:sz w:val="20"/>
                <w:szCs w:val="20"/>
              </w:rPr>
              <w:t>(</w:t>
            </w:r>
            <w:proofErr w:type="spellStart"/>
            <w:r w:rsidRPr="00817254">
              <w:rPr>
                <w:rFonts w:eastAsia="Times New Roman" w:cs="Arial"/>
                <w:color w:val="000000"/>
                <w:sz w:val="20"/>
                <w:szCs w:val="20"/>
              </w:rPr>
              <w:t>Lacasta</w:t>
            </w:r>
            <w:proofErr w:type="spellEnd"/>
            <w:r w:rsidRPr="00817254">
              <w:rPr>
                <w:rFonts w:eastAsia="Times New Roman" w:cs="Arial"/>
                <w:color w:val="000000"/>
                <w:sz w:val="20"/>
                <w:szCs w:val="20"/>
              </w:rPr>
              <w:t xml:space="preserve"> </w:t>
            </w:r>
            <w:proofErr w:type="spellStart"/>
            <w:r w:rsidRPr="00817254">
              <w:rPr>
                <w:rFonts w:eastAsia="Times New Roman" w:cs="Arial"/>
                <w:color w:val="000000"/>
                <w:sz w:val="20"/>
                <w:szCs w:val="20"/>
              </w:rPr>
              <w:t>Tintorer</w:t>
            </w:r>
            <w:proofErr w:type="spellEnd"/>
            <w:r w:rsidRPr="00817254">
              <w:rPr>
                <w:rFonts w:eastAsia="Times New Roman" w:cs="Arial"/>
                <w:color w:val="000000"/>
                <w:sz w:val="20"/>
                <w:szCs w:val="20"/>
              </w:rPr>
              <w:t xml:space="preserve"> et al., 2015b)</w:t>
            </w:r>
          </w:p>
        </w:tc>
      </w:tr>
      <w:tr w:rsidR="00E65452" w:rsidRPr="00817254" w14:paraId="0C8EB8AC" w14:textId="77777777" w:rsidTr="00626685">
        <w:tc>
          <w:tcPr>
            <w:tcW w:w="709" w:type="dxa"/>
            <w:vMerge/>
            <w:tcBorders>
              <w:left w:val="single" w:sz="6" w:space="0" w:color="FFFFFF" w:themeColor="background1"/>
              <w:bottom w:val="single" w:sz="4" w:space="0" w:color="FFFFFF"/>
              <w:right w:val="single" w:sz="6" w:space="0" w:color="FFFFFF" w:themeColor="background1"/>
            </w:tcBorders>
          </w:tcPr>
          <w:p w14:paraId="0C4BC8D4" w14:textId="77777777" w:rsidR="00E65452" w:rsidRPr="00817254"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701" w:type="dxa"/>
            <w:vMerge/>
            <w:tcBorders>
              <w:left w:val="single" w:sz="6" w:space="0" w:color="FFFFFF" w:themeColor="background1"/>
              <w:bottom w:val="single" w:sz="4" w:space="0" w:color="FFFFFF"/>
              <w:right w:val="single" w:sz="6" w:space="0" w:color="FFFFFF" w:themeColor="background1"/>
            </w:tcBorders>
          </w:tcPr>
          <w:p w14:paraId="52642702" w14:textId="77777777" w:rsidR="00E65452" w:rsidRPr="00817254"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927" w:type="dxa"/>
            <w:tcBorders>
              <w:top w:val="single" w:sz="4" w:space="0" w:color="FFFFFF"/>
              <w:left w:val="single" w:sz="6" w:space="0" w:color="FFFFFF" w:themeColor="background1"/>
              <w:bottom w:val="single" w:sz="4" w:space="0" w:color="FFFFFF"/>
              <w:right w:val="single" w:sz="6" w:space="0" w:color="FFFFFF" w:themeColor="background1"/>
            </w:tcBorders>
          </w:tcPr>
          <w:p w14:paraId="67396831"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Cooperación científica</w:t>
            </w:r>
          </w:p>
        </w:tc>
        <w:tc>
          <w:tcPr>
            <w:tcW w:w="3461" w:type="dxa"/>
            <w:tcBorders>
              <w:top w:val="single" w:sz="4" w:space="0" w:color="FFFFFF"/>
              <w:left w:val="single" w:sz="6" w:space="0" w:color="FFFFFF" w:themeColor="background1"/>
              <w:bottom w:val="single" w:sz="4" w:space="0" w:color="FFFFFF"/>
              <w:right w:val="single" w:sz="6" w:space="0" w:color="FFFFFF" w:themeColor="background1"/>
            </w:tcBorders>
          </w:tcPr>
          <w:p w14:paraId="205F124B"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Identificar a personas que colaboran con mayor intensidad para promover su liderazgo y empeño que pueda convocar y sumar a los de menor colaboración. </w:t>
            </w:r>
          </w:p>
        </w:tc>
        <w:tc>
          <w:tcPr>
            <w:tcW w:w="1274" w:type="dxa"/>
            <w:tcBorders>
              <w:top w:val="single" w:sz="4" w:space="0" w:color="FFFFFF"/>
              <w:left w:val="single" w:sz="6" w:space="0" w:color="FFFFFF" w:themeColor="background1"/>
              <w:bottom w:val="single" w:sz="4" w:space="0" w:color="FFFFFF"/>
              <w:right w:val="single" w:sz="6" w:space="0" w:color="FFFFFF" w:themeColor="background1"/>
            </w:tcBorders>
          </w:tcPr>
          <w:p w14:paraId="7A4D8FB3" w14:textId="77777777" w:rsidR="00E65452" w:rsidRPr="00817254" w:rsidRDefault="00E65452" w:rsidP="00172AF8">
            <w:pPr>
              <w:spacing w:after="0"/>
              <w:rPr>
                <w:rFonts w:eastAsia="Times New Roman" w:cs="Arial"/>
                <w:color w:val="000000"/>
                <w:sz w:val="20"/>
                <w:szCs w:val="20"/>
              </w:rPr>
            </w:pPr>
            <w:r w:rsidRPr="00817254">
              <w:rPr>
                <w:rFonts w:eastAsia="Times New Roman" w:cs="Arial"/>
                <w:color w:val="000000"/>
                <w:sz w:val="20"/>
                <w:szCs w:val="20"/>
              </w:rPr>
              <w:t>(</w:t>
            </w:r>
            <w:proofErr w:type="spellStart"/>
            <w:r w:rsidRPr="00817254">
              <w:rPr>
                <w:rFonts w:eastAsia="Times New Roman" w:cs="Arial"/>
                <w:color w:val="000000"/>
                <w:sz w:val="20"/>
                <w:szCs w:val="20"/>
              </w:rPr>
              <w:t>Handzic</w:t>
            </w:r>
            <w:proofErr w:type="spellEnd"/>
            <w:r w:rsidRPr="00817254">
              <w:rPr>
                <w:rFonts w:eastAsia="Times New Roman" w:cs="Arial"/>
                <w:color w:val="000000"/>
                <w:sz w:val="20"/>
                <w:szCs w:val="20"/>
              </w:rPr>
              <w:t xml:space="preserve"> et al., 2021)</w:t>
            </w:r>
          </w:p>
        </w:tc>
      </w:tr>
      <w:tr w:rsidR="00E65452" w:rsidRPr="00817254" w14:paraId="729BFDDC" w14:textId="77777777" w:rsidTr="00626685">
        <w:trPr>
          <w:trHeight w:val="1208"/>
        </w:trPr>
        <w:tc>
          <w:tcPr>
            <w:tcW w:w="709" w:type="dxa"/>
            <w:tcBorders>
              <w:top w:val="single" w:sz="4" w:space="0" w:color="FFFFFF"/>
              <w:left w:val="single" w:sz="6" w:space="0" w:color="FFFFFF" w:themeColor="background1"/>
              <w:bottom w:val="single" w:sz="4" w:space="0" w:color="FFFFFF"/>
              <w:right w:val="single" w:sz="6" w:space="0" w:color="FFFFFF" w:themeColor="background1"/>
            </w:tcBorders>
          </w:tcPr>
          <w:p w14:paraId="5A4F4EA9"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3B</w:t>
            </w:r>
          </w:p>
        </w:tc>
        <w:tc>
          <w:tcPr>
            <w:tcW w:w="1701" w:type="dxa"/>
            <w:tcBorders>
              <w:top w:val="single" w:sz="4" w:space="0" w:color="FFFFFF"/>
              <w:left w:val="single" w:sz="6" w:space="0" w:color="FFFFFF" w:themeColor="background1"/>
              <w:bottom w:val="single" w:sz="4" w:space="0" w:color="FFFFFF"/>
              <w:right w:val="single" w:sz="6" w:space="0" w:color="FFFFFF" w:themeColor="background1"/>
            </w:tcBorders>
          </w:tcPr>
          <w:p w14:paraId="2F89A1BB"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Partir de un problema definido en consenso</w:t>
            </w:r>
          </w:p>
        </w:tc>
        <w:tc>
          <w:tcPr>
            <w:tcW w:w="1927" w:type="dxa"/>
            <w:tcBorders>
              <w:top w:val="single" w:sz="4" w:space="0" w:color="FFFFFF"/>
              <w:left w:val="single" w:sz="6" w:space="0" w:color="FFFFFF" w:themeColor="background1"/>
              <w:bottom w:val="single" w:sz="4" w:space="0" w:color="FFFFFF"/>
              <w:right w:val="single" w:sz="6" w:space="0" w:color="FFFFFF" w:themeColor="background1"/>
            </w:tcBorders>
          </w:tcPr>
          <w:p w14:paraId="4E0E51D5"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Comunidad de práctica (</w:t>
            </w:r>
            <w:proofErr w:type="spellStart"/>
            <w:r w:rsidRPr="00817254">
              <w:rPr>
                <w:rFonts w:eastAsia="Times New Roman" w:cs="Arial"/>
                <w:sz w:val="20"/>
                <w:szCs w:val="20"/>
              </w:rPr>
              <w:t>CoP</w:t>
            </w:r>
            <w:proofErr w:type="spellEnd"/>
            <w:r w:rsidRPr="00817254">
              <w:rPr>
                <w:rFonts w:eastAsia="Times New Roman" w:cs="Arial"/>
                <w:sz w:val="20"/>
                <w:szCs w:val="20"/>
              </w:rPr>
              <w:t>) multidimensional- Soporte en seguridad social a menores.</w:t>
            </w:r>
          </w:p>
        </w:tc>
        <w:tc>
          <w:tcPr>
            <w:tcW w:w="3461" w:type="dxa"/>
            <w:tcBorders>
              <w:top w:val="single" w:sz="4" w:space="0" w:color="FFFFFF"/>
              <w:left w:val="single" w:sz="6" w:space="0" w:color="FFFFFF" w:themeColor="background1"/>
              <w:bottom w:val="single" w:sz="4" w:space="0" w:color="FFFFFF"/>
              <w:right w:val="single" w:sz="6" w:space="0" w:color="FFFFFF" w:themeColor="background1"/>
            </w:tcBorders>
          </w:tcPr>
          <w:p w14:paraId="16663C7C"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Incluir a los usuarios objetivo en la construcción del dominio y la definición de la problemática a intervenir. </w:t>
            </w:r>
          </w:p>
        </w:tc>
        <w:tc>
          <w:tcPr>
            <w:tcW w:w="1274" w:type="dxa"/>
            <w:tcBorders>
              <w:top w:val="single" w:sz="4" w:space="0" w:color="FFFFFF"/>
              <w:left w:val="single" w:sz="6" w:space="0" w:color="FFFFFF" w:themeColor="background1"/>
              <w:bottom w:val="single" w:sz="4" w:space="0" w:color="FFFFFF"/>
              <w:right w:val="single" w:sz="6" w:space="0" w:color="FFFFFF" w:themeColor="background1"/>
            </w:tcBorders>
          </w:tcPr>
          <w:p w14:paraId="6B2B2E4C" w14:textId="77777777" w:rsidR="00E65452" w:rsidRPr="00817254" w:rsidRDefault="00E65452" w:rsidP="00172AF8">
            <w:pPr>
              <w:spacing w:after="0"/>
              <w:rPr>
                <w:rFonts w:eastAsia="Times New Roman" w:cs="Arial"/>
                <w:color w:val="000000"/>
                <w:sz w:val="20"/>
                <w:szCs w:val="20"/>
              </w:rPr>
            </w:pPr>
            <w:r w:rsidRPr="00817254">
              <w:rPr>
                <w:rFonts w:eastAsia="Times New Roman" w:cs="Arial"/>
                <w:color w:val="000000"/>
                <w:sz w:val="20"/>
                <w:szCs w:val="20"/>
              </w:rPr>
              <w:t>(Golden et al., 2019)</w:t>
            </w:r>
          </w:p>
        </w:tc>
      </w:tr>
      <w:tr w:rsidR="00E65452" w:rsidRPr="00817254" w14:paraId="1D4BF121" w14:textId="77777777" w:rsidTr="00626685">
        <w:tc>
          <w:tcPr>
            <w:tcW w:w="709" w:type="dxa"/>
            <w:tcBorders>
              <w:top w:val="single" w:sz="4" w:space="0" w:color="FFFFFF"/>
              <w:left w:val="single" w:sz="6" w:space="0" w:color="FFFFFF" w:themeColor="background1"/>
              <w:bottom w:val="single" w:sz="4" w:space="0" w:color="FFFFFF"/>
              <w:right w:val="single" w:sz="6" w:space="0" w:color="FFFFFF" w:themeColor="background1"/>
            </w:tcBorders>
          </w:tcPr>
          <w:p w14:paraId="6566E29F"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3C</w:t>
            </w:r>
          </w:p>
        </w:tc>
        <w:tc>
          <w:tcPr>
            <w:tcW w:w="1701" w:type="dxa"/>
            <w:tcBorders>
              <w:top w:val="single" w:sz="4" w:space="0" w:color="FFFFFF"/>
              <w:left w:val="single" w:sz="6" w:space="0" w:color="FFFFFF" w:themeColor="background1"/>
              <w:bottom w:val="single" w:sz="4" w:space="0" w:color="FFFFFF"/>
              <w:right w:val="single" w:sz="6" w:space="0" w:color="FFFFFF" w:themeColor="background1"/>
            </w:tcBorders>
          </w:tcPr>
          <w:p w14:paraId="3710D7C9"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Desafiar el conocimiento actual </w:t>
            </w:r>
          </w:p>
        </w:tc>
        <w:tc>
          <w:tcPr>
            <w:tcW w:w="1927" w:type="dxa"/>
            <w:tcBorders>
              <w:top w:val="single" w:sz="4" w:space="0" w:color="FFFFFF"/>
              <w:left w:val="single" w:sz="6" w:space="0" w:color="FFFFFF" w:themeColor="background1"/>
              <w:bottom w:val="single" w:sz="4" w:space="0" w:color="FFFFFF"/>
              <w:right w:val="single" w:sz="6" w:space="0" w:color="FFFFFF" w:themeColor="background1"/>
            </w:tcBorders>
          </w:tcPr>
          <w:p w14:paraId="1C3314AF"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Atención médica</w:t>
            </w:r>
          </w:p>
        </w:tc>
        <w:tc>
          <w:tcPr>
            <w:tcW w:w="3461" w:type="dxa"/>
            <w:tcBorders>
              <w:top w:val="single" w:sz="4" w:space="0" w:color="FFFFFF"/>
              <w:left w:val="single" w:sz="6" w:space="0" w:color="FFFFFF" w:themeColor="background1"/>
              <w:bottom w:val="single" w:sz="4" w:space="0" w:color="FFFFFF"/>
              <w:right w:val="single" w:sz="6" w:space="0" w:color="FFFFFF" w:themeColor="background1"/>
            </w:tcBorders>
          </w:tcPr>
          <w:p w14:paraId="6EAD4F2B"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Analizar casos inusuales o hipotéticos, invitando a usar la experiencia como medio de solución.</w:t>
            </w:r>
          </w:p>
        </w:tc>
        <w:tc>
          <w:tcPr>
            <w:tcW w:w="1274" w:type="dxa"/>
            <w:tcBorders>
              <w:top w:val="single" w:sz="4" w:space="0" w:color="FFFFFF"/>
              <w:left w:val="single" w:sz="6" w:space="0" w:color="FFFFFF" w:themeColor="background1"/>
              <w:bottom w:val="single" w:sz="4" w:space="0" w:color="FFFFFF"/>
              <w:right w:val="single" w:sz="6" w:space="0" w:color="FFFFFF" w:themeColor="background1"/>
            </w:tcBorders>
          </w:tcPr>
          <w:p w14:paraId="09C31D69" w14:textId="77777777" w:rsidR="00E65452" w:rsidRPr="00817254" w:rsidRDefault="00E65452" w:rsidP="00172AF8">
            <w:pPr>
              <w:spacing w:after="0"/>
              <w:rPr>
                <w:rFonts w:eastAsia="Times New Roman" w:cs="Arial"/>
                <w:color w:val="000000"/>
                <w:sz w:val="20"/>
                <w:szCs w:val="20"/>
              </w:rPr>
            </w:pPr>
            <w:r w:rsidRPr="00817254">
              <w:rPr>
                <w:rFonts w:eastAsia="Times New Roman" w:cs="Arial"/>
                <w:color w:val="000000"/>
                <w:sz w:val="20"/>
                <w:szCs w:val="20"/>
              </w:rPr>
              <w:t>(</w:t>
            </w:r>
            <w:proofErr w:type="spellStart"/>
            <w:r w:rsidRPr="00817254">
              <w:rPr>
                <w:rFonts w:eastAsia="Times New Roman" w:cs="Arial"/>
                <w:color w:val="000000"/>
                <w:sz w:val="20"/>
                <w:szCs w:val="20"/>
              </w:rPr>
              <w:t>Wieringa</w:t>
            </w:r>
            <w:proofErr w:type="spellEnd"/>
            <w:r w:rsidRPr="00817254">
              <w:rPr>
                <w:rFonts w:eastAsia="Times New Roman" w:cs="Arial"/>
                <w:color w:val="000000"/>
                <w:sz w:val="20"/>
                <w:szCs w:val="20"/>
              </w:rPr>
              <w:t xml:space="preserve"> et al., 2018)</w:t>
            </w:r>
          </w:p>
        </w:tc>
      </w:tr>
      <w:tr w:rsidR="00E65452" w:rsidRPr="00817254" w14:paraId="0CBF7055" w14:textId="77777777" w:rsidTr="00626685">
        <w:tc>
          <w:tcPr>
            <w:tcW w:w="709" w:type="dxa"/>
            <w:tcBorders>
              <w:top w:val="single" w:sz="4" w:space="0" w:color="FFFFFF"/>
              <w:left w:val="single" w:sz="6" w:space="0" w:color="FFFFFF" w:themeColor="background1"/>
              <w:bottom w:val="single" w:sz="4" w:space="0" w:color="FFFFFF"/>
              <w:right w:val="single" w:sz="6" w:space="0" w:color="FFFFFF" w:themeColor="background1"/>
            </w:tcBorders>
          </w:tcPr>
          <w:p w14:paraId="056E4A5F"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3D</w:t>
            </w:r>
          </w:p>
        </w:tc>
        <w:tc>
          <w:tcPr>
            <w:tcW w:w="1701" w:type="dxa"/>
            <w:tcBorders>
              <w:top w:val="single" w:sz="4" w:space="0" w:color="FFFFFF"/>
              <w:left w:val="single" w:sz="6" w:space="0" w:color="FFFFFF" w:themeColor="background1"/>
              <w:bottom w:val="single" w:sz="4" w:space="0" w:color="FFFFFF"/>
              <w:right w:val="single" w:sz="6" w:space="0" w:color="FFFFFF" w:themeColor="background1"/>
            </w:tcBorders>
          </w:tcPr>
          <w:p w14:paraId="7327C7A5"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Construcción de rituales</w:t>
            </w:r>
          </w:p>
        </w:tc>
        <w:tc>
          <w:tcPr>
            <w:tcW w:w="1927" w:type="dxa"/>
            <w:tcBorders>
              <w:top w:val="single" w:sz="4" w:space="0" w:color="FFFFFF"/>
              <w:left w:val="single" w:sz="6" w:space="0" w:color="FFFFFF" w:themeColor="background1"/>
              <w:bottom w:val="single" w:sz="4" w:space="0" w:color="FFFFFF"/>
              <w:right w:val="single" w:sz="6" w:space="0" w:color="FFFFFF" w:themeColor="background1"/>
            </w:tcBorders>
          </w:tcPr>
          <w:p w14:paraId="5822FA6E"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Equipo de diseño de software</w:t>
            </w:r>
          </w:p>
        </w:tc>
        <w:tc>
          <w:tcPr>
            <w:tcW w:w="3461" w:type="dxa"/>
            <w:tcBorders>
              <w:top w:val="single" w:sz="4" w:space="0" w:color="FFFFFF"/>
              <w:left w:val="single" w:sz="6" w:space="0" w:color="FFFFFF" w:themeColor="background1"/>
              <w:bottom w:val="single" w:sz="4" w:space="0" w:color="FFFFFF"/>
              <w:right w:val="single" w:sz="6" w:space="0" w:color="FFFFFF" w:themeColor="background1"/>
            </w:tcBorders>
          </w:tcPr>
          <w:p w14:paraId="50EE209B"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Permitir la identidad del equipo desde rituales de aprendizaje que permiten la interacción entre equipos que no tienen alto grado de confianza para colaborar. </w:t>
            </w:r>
          </w:p>
        </w:tc>
        <w:tc>
          <w:tcPr>
            <w:tcW w:w="1274" w:type="dxa"/>
            <w:tcBorders>
              <w:top w:val="single" w:sz="4" w:space="0" w:color="FFFFFF"/>
              <w:left w:val="single" w:sz="6" w:space="0" w:color="FFFFFF" w:themeColor="background1"/>
              <w:bottom w:val="single" w:sz="4" w:space="0" w:color="FFFFFF"/>
              <w:right w:val="single" w:sz="6" w:space="0" w:color="FFFFFF" w:themeColor="background1"/>
            </w:tcBorders>
          </w:tcPr>
          <w:p w14:paraId="5A65C18F" w14:textId="77777777" w:rsidR="00E65452" w:rsidRPr="00817254" w:rsidRDefault="00E65452" w:rsidP="00172AF8">
            <w:pPr>
              <w:spacing w:after="0"/>
              <w:rPr>
                <w:rFonts w:eastAsia="Times New Roman" w:cs="Arial"/>
                <w:color w:val="000000"/>
                <w:sz w:val="20"/>
                <w:szCs w:val="20"/>
              </w:rPr>
            </w:pPr>
            <w:r w:rsidRPr="00817254">
              <w:rPr>
                <w:rFonts w:eastAsia="Times New Roman" w:cs="Arial"/>
                <w:color w:val="000000"/>
                <w:sz w:val="20"/>
                <w:szCs w:val="20"/>
              </w:rPr>
              <w:t>(</w:t>
            </w:r>
            <w:proofErr w:type="spellStart"/>
            <w:r w:rsidRPr="00817254">
              <w:rPr>
                <w:rFonts w:eastAsia="Times New Roman" w:cs="Arial"/>
                <w:color w:val="000000"/>
                <w:sz w:val="20"/>
                <w:szCs w:val="20"/>
              </w:rPr>
              <w:t>Hermanrud</w:t>
            </w:r>
            <w:proofErr w:type="spellEnd"/>
            <w:r w:rsidRPr="00817254">
              <w:rPr>
                <w:rFonts w:eastAsia="Times New Roman" w:cs="Arial"/>
                <w:color w:val="000000"/>
                <w:sz w:val="20"/>
                <w:szCs w:val="20"/>
              </w:rPr>
              <w:t>, 2017)</w:t>
            </w:r>
          </w:p>
        </w:tc>
      </w:tr>
      <w:tr w:rsidR="00E65452" w:rsidRPr="00817254" w14:paraId="4BD597C2" w14:textId="77777777" w:rsidTr="00626685">
        <w:tc>
          <w:tcPr>
            <w:tcW w:w="709" w:type="dxa"/>
            <w:tcBorders>
              <w:top w:val="single" w:sz="4" w:space="0" w:color="FFFFFF"/>
              <w:left w:val="single" w:sz="6" w:space="0" w:color="FFFFFF" w:themeColor="background1"/>
              <w:right w:val="single" w:sz="6" w:space="0" w:color="FFFFFF" w:themeColor="background1"/>
            </w:tcBorders>
          </w:tcPr>
          <w:p w14:paraId="27451724"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3E</w:t>
            </w:r>
          </w:p>
        </w:tc>
        <w:tc>
          <w:tcPr>
            <w:tcW w:w="1701" w:type="dxa"/>
            <w:tcBorders>
              <w:top w:val="single" w:sz="4" w:space="0" w:color="FFFFFF"/>
              <w:left w:val="single" w:sz="6" w:space="0" w:color="FFFFFF" w:themeColor="background1"/>
              <w:right w:val="single" w:sz="6" w:space="0" w:color="FFFFFF" w:themeColor="background1"/>
            </w:tcBorders>
          </w:tcPr>
          <w:p w14:paraId="209584A4" w14:textId="77777777" w:rsidR="00E65452" w:rsidRPr="00817254" w:rsidRDefault="00E65452" w:rsidP="00172AF8">
            <w:pPr>
              <w:spacing w:after="0"/>
              <w:rPr>
                <w:rFonts w:eastAsia="Times New Roman" w:cs="Arial"/>
                <w:sz w:val="20"/>
                <w:szCs w:val="20"/>
              </w:rPr>
            </w:pPr>
            <w:proofErr w:type="spellStart"/>
            <w:r w:rsidRPr="00817254">
              <w:rPr>
                <w:rFonts w:eastAsia="Times New Roman" w:cs="Arial"/>
                <w:sz w:val="20"/>
                <w:szCs w:val="20"/>
              </w:rPr>
              <w:t>Codiseño</w:t>
            </w:r>
            <w:proofErr w:type="spellEnd"/>
          </w:p>
        </w:tc>
        <w:tc>
          <w:tcPr>
            <w:tcW w:w="1927" w:type="dxa"/>
            <w:tcBorders>
              <w:top w:val="single" w:sz="4" w:space="0" w:color="FFFFFF"/>
              <w:left w:val="single" w:sz="6" w:space="0" w:color="FFFFFF" w:themeColor="background1"/>
              <w:right w:val="single" w:sz="6" w:space="0" w:color="FFFFFF" w:themeColor="background1"/>
            </w:tcBorders>
          </w:tcPr>
          <w:p w14:paraId="230E42C6"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Sistemas integrales de marketing en el sector de TI</w:t>
            </w:r>
          </w:p>
        </w:tc>
        <w:tc>
          <w:tcPr>
            <w:tcW w:w="3461" w:type="dxa"/>
            <w:tcBorders>
              <w:top w:val="single" w:sz="4" w:space="0" w:color="FFFFFF"/>
              <w:left w:val="single" w:sz="6" w:space="0" w:color="FFFFFF" w:themeColor="background1"/>
              <w:right w:val="single" w:sz="6" w:space="0" w:color="FFFFFF" w:themeColor="background1"/>
            </w:tcBorders>
          </w:tcPr>
          <w:p w14:paraId="75246C6F" w14:textId="77777777" w:rsidR="00E65452" w:rsidRPr="00817254" w:rsidRDefault="00E65452" w:rsidP="00172AF8">
            <w:pPr>
              <w:spacing w:after="0"/>
              <w:rPr>
                <w:rFonts w:eastAsia="Times New Roman" w:cs="Arial"/>
                <w:sz w:val="20"/>
                <w:szCs w:val="20"/>
              </w:rPr>
            </w:pPr>
            <w:r w:rsidRPr="00817254">
              <w:rPr>
                <w:rFonts w:eastAsia="Times New Roman" w:cs="Arial"/>
                <w:sz w:val="20"/>
                <w:szCs w:val="20"/>
              </w:rPr>
              <w:t xml:space="preserve">Potencializar la participación de muchas entidades (trabajadores, socios, clientes, consumidores y sociedad), con el fin de lograr un ajuste a las expectativas del usuario. </w:t>
            </w:r>
          </w:p>
        </w:tc>
        <w:tc>
          <w:tcPr>
            <w:tcW w:w="1274" w:type="dxa"/>
            <w:tcBorders>
              <w:top w:val="single" w:sz="4" w:space="0" w:color="FFFFFF"/>
              <w:left w:val="single" w:sz="6" w:space="0" w:color="FFFFFF" w:themeColor="background1"/>
              <w:right w:val="single" w:sz="6" w:space="0" w:color="FFFFFF" w:themeColor="background1"/>
            </w:tcBorders>
          </w:tcPr>
          <w:p w14:paraId="1160DB9C" w14:textId="77777777" w:rsidR="00E65452" w:rsidRPr="00817254" w:rsidRDefault="00E65452" w:rsidP="00172AF8">
            <w:pPr>
              <w:spacing w:after="0"/>
              <w:rPr>
                <w:rFonts w:eastAsia="Times New Roman" w:cs="Arial"/>
                <w:color w:val="000000"/>
                <w:sz w:val="20"/>
                <w:szCs w:val="20"/>
              </w:rPr>
            </w:pPr>
            <w:r w:rsidRPr="00817254">
              <w:rPr>
                <w:rFonts w:eastAsia="Times New Roman" w:cs="Arial"/>
                <w:color w:val="000000"/>
                <w:sz w:val="20"/>
                <w:szCs w:val="20"/>
              </w:rPr>
              <w:t>(</w:t>
            </w:r>
            <w:proofErr w:type="spellStart"/>
            <w:r w:rsidRPr="00817254">
              <w:rPr>
                <w:rFonts w:eastAsia="Times New Roman" w:cs="Arial"/>
                <w:color w:val="000000"/>
                <w:sz w:val="20"/>
                <w:szCs w:val="20"/>
              </w:rPr>
              <w:t>Sztangret</w:t>
            </w:r>
            <w:proofErr w:type="spellEnd"/>
            <w:r w:rsidRPr="00817254">
              <w:rPr>
                <w:rFonts w:eastAsia="Times New Roman" w:cs="Arial"/>
                <w:color w:val="000000"/>
                <w:sz w:val="20"/>
                <w:szCs w:val="20"/>
              </w:rPr>
              <w:t>, 2016)</w:t>
            </w:r>
          </w:p>
        </w:tc>
      </w:tr>
    </w:tbl>
    <w:p w14:paraId="3E525AE1" w14:textId="77777777" w:rsidR="00D74E2F" w:rsidRDefault="00D74E2F" w:rsidP="00B01ED3">
      <w:pPr>
        <w:spacing w:after="0"/>
        <w:rPr>
          <w:rFonts w:eastAsia="Times New Roman" w:cs="Arial"/>
          <w:b/>
        </w:rPr>
      </w:pPr>
    </w:p>
    <w:p w14:paraId="178FD455" w14:textId="53494E6C" w:rsidR="00E65452" w:rsidRPr="00817254" w:rsidRDefault="00E65452" w:rsidP="00B01ED3">
      <w:pPr>
        <w:spacing w:after="0"/>
        <w:rPr>
          <w:rFonts w:eastAsia="Times New Roman" w:cs="Arial"/>
          <w:b/>
        </w:rPr>
      </w:pPr>
      <w:r w:rsidRPr="00817254">
        <w:rPr>
          <w:rFonts w:eastAsia="Times New Roman" w:cs="Arial"/>
          <w:b/>
        </w:rPr>
        <w:t xml:space="preserve">3. Estructura organizacional de la </w:t>
      </w:r>
      <w:proofErr w:type="spellStart"/>
      <w:r w:rsidRPr="00817254">
        <w:rPr>
          <w:rFonts w:eastAsia="Times New Roman" w:cs="Arial"/>
          <w:b/>
        </w:rPr>
        <w:t>CoP</w:t>
      </w:r>
      <w:proofErr w:type="spellEnd"/>
      <w:r w:rsidRPr="00817254">
        <w:rPr>
          <w:rFonts w:eastAsia="Times New Roman" w:cs="Arial"/>
          <w:b/>
        </w:rPr>
        <w:t xml:space="preserve"> (definición de los roles, liderazgo compartido)</w:t>
      </w:r>
    </w:p>
    <w:p w14:paraId="4F4D6A71" w14:textId="77777777" w:rsidR="00B01ED3" w:rsidRPr="00817254" w:rsidRDefault="00B01ED3" w:rsidP="00B01ED3">
      <w:pPr>
        <w:spacing w:after="0"/>
        <w:rPr>
          <w:rFonts w:eastAsia="Times New Roman" w:cs="Arial"/>
          <w:b/>
        </w:rPr>
      </w:pPr>
    </w:p>
    <w:p w14:paraId="03D17C87" w14:textId="4F9D8DB3" w:rsidR="00E65452" w:rsidRPr="00817254" w:rsidRDefault="00E65452" w:rsidP="00B01ED3">
      <w:pPr>
        <w:spacing w:after="0"/>
        <w:rPr>
          <w:rFonts w:eastAsia="Times New Roman" w:cs="Arial"/>
        </w:rPr>
      </w:pPr>
      <w:r w:rsidRPr="00817254">
        <w:rPr>
          <w:rFonts w:eastAsia="Times New Roman" w:cs="Arial"/>
        </w:rPr>
        <w:t xml:space="preserve">Las estructuras organizacionales que son verticales, centralizadas y compartimentadas son por construcción, lentas y conservadoras, debido a que buena parte de su energía se disipa en los juegos del poder </w:t>
      </w:r>
      <w:r w:rsidRPr="00817254">
        <w:rPr>
          <w:rFonts w:eastAsia="Times New Roman" w:cs="Arial"/>
          <w:color w:val="000000"/>
        </w:rPr>
        <w:t>(</w:t>
      </w:r>
      <w:proofErr w:type="spellStart"/>
      <w:r w:rsidRPr="00817254">
        <w:rPr>
          <w:rFonts w:eastAsia="Times New Roman" w:cs="Arial"/>
          <w:color w:val="000000"/>
        </w:rPr>
        <w:t>Roulleaux</w:t>
      </w:r>
      <w:proofErr w:type="spellEnd"/>
      <w:r w:rsidRPr="00817254">
        <w:rPr>
          <w:rFonts w:eastAsia="Times New Roman" w:cs="Arial"/>
          <w:color w:val="000000"/>
        </w:rPr>
        <w:t>, 2008:32)</w:t>
      </w:r>
      <w:r w:rsidRPr="00817254">
        <w:rPr>
          <w:rFonts w:eastAsia="Times New Roman" w:cs="Arial"/>
        </w:rPr>
        <w:t xml:space="preserve">. Por otra parte, para el autor, este tipo de organización ha normalizado que el conocimiento esté dividido y sea codificado de esta manera, con dificultades para conectar y solucionar problemas. </w:t>
      </w:r>
    </w:p>
    <w:p w14:paraId="03102D69" w14:textId="0629325E" w:rsidR="00E65452" w:rsidRPr="00817254" w:rsidRDefault="00E65452" w:rsidP="00172AF8">
      <w:pPr>
        <w:autoSpaceDE w:val="0"/>
        <w:autoSpaceDN w:val="0"/>
        <w:adjustRightInd w:val="0"/>
        <w:spacing w:after="0"/>
        <w:ind w:firstLine="567"/>
        <w:rPr>
          <w:rFonts w:eastAsia="Times New Roman" w:cs="Arial"/>
        </w:rPr>
      </w:pPr>
      <w:r w:rsidRPr="00817254">
        <w:rPr>
          <w:rFonts w:eastAsia="Times New Roman" w:cs="Arial"/>
        </w:rPr>
        <w:t xml:space="preserve">Los equipos que aprenden e innovan colectivamente para </w:t>
      </w:r>
      <w:proofErr w:type="spellStart"/>
      <w:r w:rsidRPr="00817254">
        <w:rPr>
          <w:rFonts w:eastAsia="Times New Roman" w:cs="Arial"/>
          <w:color w:val="000000"/>
        </w:rPr>
        <w:t>Roulleaux</w:t>
      </w:r>
      <w:proofErr w:type="spellEnd"/>
      <w:r w:rsidRPr="00817254">
        <w:rPr>
          <w:rFonts w:eastAsia="Times New Roman" w:cs="Arial"/>
          <w:color w:val="000000"/>
        </w:rPr>
        <w:t xml:space="preserve"> (2008:35) están </w:t>
      </w:r>
      <w:r w:rsidRPr="00817254">
        <w:rPr>
          <w:rFonts w:eastAsia="Times New Roman" w:cs="Arial"/>
        </w:rPr>
        <w:t>conformados por individuos autónomos, que se auto organizan para producir conocimiento de manera distribuida, sus comportamientos son emergentes como respuesta al cumplimiento de Barrero Fernández et al.</w:t>
      </w:r>
      <w:r w:rsidR="00172AF8" w:rsidRPr="00817254">
        <w:rPr>
          <w:rFonts w:eastAsia="Times New Roman" w:cs="Arial"/>
        </w:rPr>
        <w:t xml:space="preserve"> </w:t>
      </w:r>
      <w:r w:rsidR="00B01ED3" w:rsidRPr="00817254">
        <w:rPr>
          <w:rFonts w:eastAsia="Times New Roman" w:cs="Arial"/>
        </w:rPr>
        <w:t>(</w:t>
      </w:r>
      <w:r w:rsidRPr="00817254">
        <w:rPr>
          <w:rFonts w:eastAsia="Times New Roman" w:cs="Arial"/>
        </w:rPr>
        <w:t xml:space="preserve">2020) </w:t>
      </w:r>
      <w:r w:rsidR="00B01ED3" w:rsidRPr="00817254">
        <w:rPr>
          <w:rFonts w:eastAsia="Times New Roman" w:cs="Arial"/>
        </w:rPr>
        <w:t>en</w:t>
      </w:r>
      <w:r w:rsidRPr="00817254">
        <w:rPr>
          <w:rFonts w:eastAsia="Times New Roman" w:cs="Arial"/>
        </w:rPr>
        <w:t xml:space="preserve"> un contexto con sentido. </w:t>
      </w:r>
    </w:p>
    <w:p w14:paraId="17809D37" w14:textId="1BC330DC" w:rsidR="00E65452" w:rsidRPr="00817254" w:rsidRDefault="00E65452" w:rsidP="00172AF8">
      <w:pPr>
        <w:autoSpaceDE w:val="0"/>
        <w:autoSpaceDN w:val="0"/>
        <w:adjustRightInd w:val="0"/>
        <w:spacing w:after="0"/>
        <w:ind w:firstLine="567"/>
        <w:rPr>
          <w:rFonts w:eastAsia="Times New Roman" w:cs="Arial"/>
        </w:rPr>
      </w:pPr>
      <w:r w:rsidRPr="00817254">
        <w:rPr>
          <w:rFonts w:eastAsia="Times New Roman" w:cs="Arial"/>
        </w:rPr>
        <w:t>Para liderar estos equipos, se requiere desarrollar tácticas que permit</w:t>
      </w:r>
      <w:r w:rsidR="00B01ED3" w:rsidRPr="00817254">
        <w:rPr>
          <w:rFonts w:eastAsia="Times New Roman" w:cs="Arial"/>
        </w:rPr>
        <w:t>e</w:t>
      </w:r>
      <w:r w:rsidRPr="00817254">
        <w:rPr>
          <w:rFonts w:eastAsia="Times New Roman" w:cs="Arial"/>
        </w:rPr>
        <w:t>n la colaboración, la comunicación y la confianza (</w:t>
      </w:r>
      <w:proofErr w:type="spellStart"/>
      <w:r w:rsidRPr="00817254">
        <w:rPr>
          <w:rFonts w:eastAsia="Times New Roman" w:cs="Arial"/>
        </w:rPr>
        <w:t>Awah</w:t>
      </w:r>
      <w:proofErr w:type="spellEnd"/>
      <w:r w:rsidRPr="00817254">
        <w:rPr>
          <w:rFonts w:eastAsia="Times New Roman" w:cs="Arial"/>
        </w:rPr>
        <w:t xml:space="preserve"> et al., 2018; Hernández-Soto et al., 2021), adicionalmente, se menciona el liderazgo intermedio, asociado a la labor docente, quienes hacen la traducción de los modelos y estrategias y procuran la cercanía, para mejorar la pertenencia a la comunidad desde la asesoría y el acompañamiento. </w:t>
      </w:r>
    </w:p>
    <w:p w14:paraId="1C609E44" w14:textId="5BEC685C" w:rsidR="00E65452" w:rsidRPr="00817254" w:rsidRDefault="00E65452" w:rsidP="00172AF8">
      <w:pPr>
        <w:autoSpaceDE w:val="0"/>
        <w:autoSpaceDN w:val="0"/>
        <w:adjustRightInd w:val="0"/>
        <w:spacing w:after="0"/>
        <w:ind w:firstLine="567"/>
        <w:rPr>
          <w:rFonts w:eastAsia="Times New Roman" w:cs="Arial"/>
        </w:rPr>
      </w:pPr>
      <w:r w:rsidRPr="00817254">
        <w:rPr>
          <w:rFonts w:eastAsia="Times New Roman" w:cs="Arial"/>
        </w:rPr>
        <w:t xml:space="preserve">Lo anterior como consecuencia de los resultados, que se han presentado por parte de directivos que han liderado los mecanismos de colaboración como las comunidades de práctica o de aprendizaje, quienes reconocen que existe falta de tiempo para la planificación y organización, dificultades para compartir conocimiento frente a figuras de poder, además </w:t>
      </w:r>
      <w:r w:rsidRPr="00817254">
        <w:rPr>
          <w:rFonts w:eastAsia="Times New Roman" w:cs="Arial"/>
        </w:rPr>
        <w:lastRenderedPageBreak/>
        <w:t xml:space="preserve">de un seguimiento que permita reorientar la estrategia de construcción de conocimiento (Cantero et al., 2018), lo cual implica compartir funciones y actividades entre los miembros de la comunidad. </w:t>
      </w:r>
    </w:p>
    <w:p w14:paraId="5BA6BFDE" w14:textId="0474B5DA" w:rsidR="00E65452" w:rsidRPr="00817254" w:rsidRDefault="00E65452" w:rsidP="00172AF8">
      <w:pPr>
        <w:autoSpaceDE w:val="0"/>
        <w:autoSpaceDN w:val="0"/>
        <w:adjustRightInd w:val="0"/>
        <w:spacing w:after="0"/>
        <w:ind w:firstLine="567"/>
        <w:rPr>
          <w:rFonts w:eastAsia="Times New Roman" w:cs="Arial"/>
        </w:rPr>
      </w:pPr>
      <w:r w:rsidRPr="00817254">
        <w:rPr>
          <w:rFonts w:eastAsia="Times New Roman" w:cs="Arial"/>
        </w:rPr>
        <w:t>Lo anterior es posible, debido a que se generan cuatro condiciones: una comprensión clara y coherente de la intención de mando, información de alta calidad y con una apreciación compartida de la situación, altos niveles de competencia soportado en formación y entrenamiento, con un soporte en la confianza en la información, el equipo y las personas (subordinados, superiores y compañeros); lo anterior, retomando la analogía de la colaboración en ambientes militares (</w:t>
      </w:r>
      <w:proofErr w:type="spellStart"/>
      <w:r w:rsidRPr="00817254">
        <w:rPr>
          <w:rFonts w:eastAsia="Times New Roman" w:cs="Arial"/>
        </w:rPr>
        <w:t>Roulleaux</w:t>
      </w:r>
      <w:proofErr w:type="spellEnd"/>
      <w:r w:rsidRPr="00817254">
        <w:rPr>
          <w:rFonts w:eastAsia="Times New Roman" w:cs="Arial"/>
        </w:rPr>
        <w:t xml:space="preserve">, 2008:39). </w:t>
      </w:r>
    </w:p>
    <w:p w14:paraId="6585871B" w14:textId="43FC5307" w:rsidR="00E65452" w:rsidRPr="00817254" w:rsidRDefault="00E65452" w:rsidP="00172AF8">
      <w:pPr>
        <w:autoSpaceDE w:val="0"/>
        <w:autoSpaceDN w:val="0"/>
        <w:adjustRightInd w:val="0"/>
        <w:spacing w:after="0"/>
        <w:ind w:firstLine="567"/>
        <w:rPr>
          <w:rFonts w:eastAsia="Times New Roman" w:cs="Arial"/>
        </w:rPr>
      </w:pPr>
      <w:r w:rsidRPr="00817254">
        <w:rPr>
          <w:rFonts w:eastAsia="Times New Roman" w:cs="Arial"/>
        </w:rPr>
        <w:t xml:space="preserve">Para el desarrollo de la colaboración se pueden definir roles y grupos con funciones que permitan la complementariedad. Se tiene evidencia de grupos nucleares encargados del diseño de las actividades, otros periféricos que participan en las actividades, a los cuales son convocan y que tienen la libertad de decidir su asistencia. Aunque los resultados en la asistencia no son previsibles, se tienen resultados en el mejoramiento de las competencias asociadas al manejo de las tecnologías de la información y comunicación (Bedoya González et al., 2017). </w:t>
      </w:r>
    </w:p>
    <w:p w14:paraId="4E9D0481" w14:textId="77777777" w:rsidR="00E65452" w:rsidRPr="00817254" w:rsidRDefault="00E65452" w:rsidP="00E65452">
      <w:pPr>
        <w:rPr>
          <w:rFonts w:eastAsia="Times New Roman" w:cs="Arial"/>
          <w:b/>
        </w:rPr>
      </w:pPr>
    </w:p>
    <w:p w14:paraId="6CD5E44E" w14:textId="5D3928BD" w:rsidR="00626685" w:rsidRPr="00D74E2F" w:rsidRDefault="00E65452" w:rsidP="00172AF8">
      <w:pPr>
        <w:spacing w:after="0"/>
        <w:rPr>
          <w:rFonts w:eastAsia="Times New Roman" w:cs="Arial"/>
          <w:b/>
          <w:sz w:val="20"/>
          <w:szCs w:val="20"/>
        </w:rPr>
      </w:pPr>
      <w:r w:rsidRPr="00D74E2F">
        <w:rPr>
          <w:rFonts w:eastAsia="Times New Roman" w:cs="Arial"/>
          <w:b/>
          <w:sz w:val="20"/>
          <w:szCs w:val="20"/>
        </w:rPr>
        <w:t>Tabla 5</w:t>
      </w:r>
    </w:p>
    <w:p w14:paraId="0610A4BB" w14:textId="4ED21755" w:rsidR="00E65452" w:rsidRPr="00D74E2F" w:rsidRDefault="00E65452" w:rsidP="00172AF8">
      <w:pPr>
        <w:spacing w:after="0"/>
        <w:rPr>
          <w:rFonts w:eastAsia="Times New Roman" w:cs="Arial"/>
          <w:b/>
          <w:sz w:val="20"/>
          <w:szCs w:val="20"/>
        </w:rPr>
      </w:pPr>
      <w:r w:rsidRPr="00D74E2F">
        <w:rPr>
          <w:rFonts w:eastAsia="Times New Roman" w:cs="Arial"/>
          <w:i/>
          <w:sz w:val="20"/>
          <w:szCs w:val="20"/>
        </w:rPr>
        <w:t>Lineamientos para la estructura organizacional</w:t>
      </w:r>
    </w:p>
    <w:tbl>
      <w:tblPr>
        <w:tblW w:w="92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1418"/>
        <w:gridCol w:w="1701"/>
        <w:gridCol w:w="4086"/>
        <w:gridCol w:w="1469"/>
      </w:tblGrid>
      <w:tr w:rsidR="00E65452" w:rsidRPr="00D74E2F" w14:paraId="1DF49007" w14:textId="77777777" w:rsidTr="00172AF8">
        <w:trPr>
          <w:tblHeader/>
        </w:trPr>
        <w:tc>
          <w:tcPr>
            <w:tcW w:w="567" w:type="dxa"/>
            <w:tcBorders>
              <w:left w:val="single" w:sz="6" w:space="0" w:color="FFFFFF" w:themeColor="background1"/>
              <w:right w:val="single" w:sz="6" w:space="0" w:color="FFFFFF" w:themeColor="background1"/>
            </w:tcBorders>
          </w:tcPr>
          <w:p w14:paraId="478C40BF"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Nº</w:t>
            </w:r>
          </w:p>
        </w:tc>
        <w:tc>
          <w:tcPr>
            <w:tcW w:w="1418" w:type="dxa"/>
            <w:tcBorders>
              <w:left w:val="single" w:sz="6" w:space="0" w:color="FFFFFF" w:themeColor="background1"/>
              <w:right w:val="single" w:sz="6" w:space="0" w:color="FFFFFF" w:themeColor="background1"/>
            </w:tcBorders>
          </w:tcPr>
          <w:p w14:paraId="6A9CBCAC"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 xml:space="preserve">Acciones </w:t>
            </w:r>
          </w:p>
        </w:tc>
        <w:tc>
          <w:tcPr>
            <w:tcW w:w="1701" w:type="dxa"/>
            <w:tcBorders>
              <w:left w:val="single" w:sz="6" w:space="0" w:color="FFFFFF" w:themeColor="background1"/>
              <w:right w:val="single" w:sz="6" w:space="0" w:color="FFFFFF" w:themeColor="background1"/>
            </w:tcBorders>
          </w:tcPr>
          <w:p w14:paraId="19FEF1CC"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Dominio</w:t>
            </w:r>
          </w:p>
        </w:tc>
        <w:tc>
          <w:tcPr>
            <w:tcW w:w="4086" w:type="dxa"/>
            <w:tcBorders>
              <w:left w:val="single" w:sz="6" w:space="0" w:color="FFFFFF" w:themeColor="background1"/>
              <w:right w:val="single" w:sz="6" w:space="0" w:color="FFFFFF" w:themeColor="background1"/>
            </w:tcBorders>
          </w:tcPr>
          <w:p w14:paraId="648ED462"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Explicación</w:t>
            </w:r>
          </w:p>
        </w:tc>
        <w:tc>
          <w:tcPr>
            <w:tcW w:w="1469" w:type="dxa"/>
            <w:tcBorders>
              <w:left w:val="single" w:sz="6" w:space="0" w:color="FFFFFF" w:themeColor="background1"/>
              <w:right w:val="single" w:sz="6" w:space="0" w:color="FFFFFF" w:themeColor="background1"/>
            </w:tcBorders>
          </w:tcPr>
          <w:p w14:paraId="5676930F"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Fuente</w:t>
            </w:r>
          </w:p>
        </w:tc>
      </w:tr>
      <w:tr w:rsidR="00E65452" w:rsidRPr="00D74E2F" w14:paraId="32F423B1" w14:textId="77777777" w:rsidTr="00626685">
        <w:tc>
          <w:tcPr>
            <w:tcW w:w="567" w:type="dxa"/>
            <w:vMerge w:val="restart"/>
            <w:tcBorders>
              <w:left w:val="single" w:sz="6" w:space="0" w:color="FFFFFF" w:themeColor="background1"/>
              <w:right w:val="single" w:sz="6" w:space="0" w:color="FFFFFF" w:themeColor="background1"/>
            </w:tcBorders>
          </w:tcPr>
          <w:p w14:paraId="4A460D65"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4A</w:t>
            </w:r>
          </w:p>
        </w:tc>
        <w:tc>
          <w:tcPr>
            <w:tcW w:w="1418" w:type="dxa"/>
            <w:vMerge w:val="restart"/>
            <w:tcBorders>
              <w:left w:val="single" w:sz="6" w:space="0" w:color="FFFFFF" w:themeColor="background1"/>
              <w:right w:val="single" w:sz="6" w:space="0" w:color="FFFFFF" w:themeColor="background1"/>
            </w:tcBorders>
          </w:tcPr>
          <w:p w14:paraId="7C7CC603"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Liderazgo compartido</w:t>
            </w:r>
          </w:p>
        </w:tc>
        <w:tc>
          <w:tcPr>
            <w:tcW w:w="1701" w:type="dxa"/>
            <w:tcBorders>
              <w:left w:val="single" w:sz="6" w:space="0" w:color="FFFFFF" w:themeColor="background1"/>
              <w:bottom w:val="single" w:sz="4" w:space="0" w:color="FFFFFF" w:themeColor="background1"/>
              <w:right w:val="single" w:sz="6" w:space="0" w:color="FFFFFF" w:themeColor="background1"/>
            </w:tcBorders>
          </w:tcPr>
          <w:p w14:paraId="59C557A0"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Educación </w:t>
            </w:r>
          </w:p>
        </w:tc>
        <w:tc>
          <w:tcPr>
            <w:tcW w:w="4086" w:type="dxa"/>
            <w:tcBorders>
              <w:left w:val="single" w:sz="6" w:space="0" w:color="FFFFFF" w:themeColor="background1"/>
              <w:bottom w:val="single" w:sz="4" w:space="0" w:color="FFFFFF" w:themeColor="background1"/>
              <w:right w:val="single" w:sz="6" w:space="0" w:color="FFFFFF" w:themeColor="background1"/>
            </w:tcBorders>
          </w:tcPr>
          <w:p w14:paraId="02BF7CC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Garantizar el compromiso de todos, aplicándolos en la administración y la gestión.</w:t>
            </w:r>
          </w:p>
        </w:tc>
        <w:tc>
          <w:tcPr>
            <w:tcW w:w="1469" w:type="dxa"/>
            <w:tcBorders>
              <w:left w:val="single" w:sz="6" w:space="0" w:color="FFFFFF" w:themeColor="background1"/>
              <w:bottom w:val="single" w:sz="4" w:space="0" w:color="FFFFFF" w:themeColor="background1"/>
              <w:right w:val="single" w:sz="6" w:space="0" w:color="FFFFFF" w:themeColor="background1"/>
            </w:tcBorders>
          </w:tcPr>
          <w:p w14:paraId="0721B39C"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(Cantero et al., 2018)</w:t>
            </w:r>
          </w:p>
        </w:tc>
      </w:tr>
      <w:tr w:rsidR="00E65452" w:rsidRPr="00D74E2F" w14:paraId="79C3D77F" w14:textId="77777777" w:rsidTr="00626685">
        <w:tc>
          <w:tcPr>
            <w:tcW w:w="567" w:type="dxa"/>
            <w:vMerge/>
            <w:tcBorders>
              <w:left w:val="single" w:sz="6" w:space="0" w:color="FFFFFF" w:themeColor="background1"/>
              <w:bottom w:val="single" w:sz="4" w:space="0" w:color="FFFFFF" w:themeColor="background1"/>
              <w:right w:val="single" w:sz="6" w:space="0" w:color="FFFFFF" w:themeColor="background1"/>
            </w:tcBorders>
          </w:tcPr>
          <w:p w14:paraId="5B0A1ABA" w14:textId="77777777" w:rsidR="00E65452" w:rsidRPr="00D74E2F"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418" w:type="dxa"/>
            <w:vMerge/>
            <w:tcBorders>
              <w:left w:val="single" w:sz="6" w:space="0" w:color="FFFFFF" w:themeColor="background1"/>
              <w:bottom w:val="single" w:sz="4" w:space="0" w:color="FFFFFF" w:themeColor="background1"/>
              <w:right w:val="single" w:sz="6" w:space="0" w:color="FFFFFF" w:themeColor="background1"/>
            </w:tcBorders>
          </w:tcPr>
          <w:p w14:paraId="2DB02F92" w14:textId="77777777" w:rsidR="00E65452" w:rsidRPr="00D74E2F"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5B1DB5AD"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Enseñanza medica</w:t>
            </w:r>
          </w:p>
        </w:tc>
        <w:tc>
          <w:tcPr>
            <w:tcW w:w="4086"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DCF8C2F"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Se soporta en estructuras informales que tiene límites desde el dominio, pero permite la creación y propuesta de rutas de desarrollo. </w:t>
            </w:r>
          </w:p>
        </w:tc>
        <w:tc>
          <w:tcPr>
            <w:tcW w:w="146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3E41B4DA"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Seyednazari</w:t>
            </w:r>
            <w:proofErr w:type="spellEnd"/>
            <w:r w:rsidRPr="00D74E2F">
              <w:rPr>
                <w:rFonts w:eastAsia="Times New Roman" w:cs="Arial"/>
                <w:color w:val="000000"/>
                <w:sz w:val="20"/>
                <w:szCs w:val="20"/>
              </w:rPr>
              <w:t xml:space="preserve"> et al., 2018)</w:t>
            </w:r>
          </w:p>
        </w:tc>
      </w:tr>
      <w:tr w:rsidR="00E65452" w:rsidRPr="00D74E2F" w14:paraId="7A0175FA" w14:textId="77777777" w:rsidTr="00626685">
        <w:trPr>
          <w:trHeight w:val="805"/>
        </w:trPr>
        <w:tc>
          <w:tcPr>
            <w:tcW w:w="567" w:type="dxa"/>
            <w:vMerge w:val="restart"/>
            <w:tcBorders>
              <w:top w:val="single" w:sz="4" w:space="0" w:color="FFFFFF" w:themeColor="background1"/>
              <w:left w:val="single" w:sz="6" w:space="0" w:color="FFFFFF" w:themeColor="background1"/>
              <w:right w:val="single" w:sz="6" w:space="0" w:color="FFFFFF" w:themeColor="background1"/>
            </w:tcBorders>
          </w:tcPr>
          <w:p w14:paraId="692F2E34"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4B</w:t>
            </w:r>
          </w:p>
        </w:tc>
        <w:tc>
          <w:tcPr>
            <w:tcW w:w="1418" w:type="dxa"/>
            <w:vMerge w:val="restart"/>
            <w:tcBorders>
              <w:top w:val="single" w:sz="4" w:space="0" w:color="FFFFFF" w:themeColor="background1"/>
              <w:left w:val="single" w:sz="6" w:space="0" w:color="FFFFFF" w:themeColor="background1"/>
              <w:right w:val="single" w:sz="6" w:space="0" w:color="FFFFFF" w:themeColor="background1"/>
            </w:tcBorders>
          </w:tcPr>
          <w:p w14:paraId="520C5F86"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Vinculación de expertos</w:t>
            </w:r>
          </w:p>
        </w:tc>
        <w:tc>
          <w:tcPr>
            <w:tcW w:w="1701" w:type="dxa"/>
            <w:tcBorders>
              <w:top w:val="single" w:sz="4" w:space="0" w:color="FFFFFF" w:themeColor="background1"/>
              <w:left w:val="single" w:sz="6" w:space="0" w:color="FFFFFF" w:themeColor="background1"/>
              <w:right w:val="single" w:sz="6" w:space="0" w:color="FFFFFF" w:themeColor="background1"/>
            </w:tcBorders>
          </w:tcPr>
          <w:p w14:paraId="3FB98154"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Formación doctoral</w:t>
            </w:r>
          </w:p>
        </w:tc>
        <w:tc>
          <w:tcPr>
            <w:tcW w:w="4086" w:type="dxa"/>
            <w:tcBorders>
              <w:top w:val="single" w:sz="4" w:space="0" w:color="FFFFFF" w:themeColor="background1"/>
              <w:left w:val="single" w:sz="6" w:space="0" w:color="FFFFFF" w:themeColor="background1"/>
              <w:right w:val="single" w:sz="6" w:space="0" w:color="FFFFFF" w:themeColor="background1"/>
            </w:tcBorders>
          </w:tcPr>
          <w:p w14:paraId="4AA351B3"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Involucrar a los expertos para explorar </w:t>
            </w:r>
            <w:proofErr w:type="spellStart"/>
            <w:r w:rsidRPr="00D74E2F">
              <w:rPr>
                <w:rFonts w:eastAsia="Times New Roman" w:cs="Arial"/>
                <w:sz w:val="20"/>
                <w:szCs w:val="20"/>
              </w:rPr>
              <w:t>subcampos</w:t>
            </w:r>
            <w:proofErr w:type="spellEnd"/>
            <w:r w:rsidRPr="00D74E2F">
              <w:rPr>
                <w:rFonts w:eastAsia="Times New Roman" w:cs="Arial"/>
                <w:sz w:val="20"/>
                <w:szCs w:val="20"/>
              </w:rPr>
              <w:t xml:space="preserve"> desconocidos, otorgando un valor a las fuentes humanas y las relaciones sociales. </w:t>
            </w:r>
          </w:p>
        </w:tc>
        <w:tc>
          <w:tcPr>
            <w:tcW w:w="1469" w:type="dxa"/>
            <w:tcBorders>
              <w:top w:val="single" w:sz="4" w:space="0" w:color="FFFFFF" w:themeColor="background1"/>
              <w:left w:val="single" w:sz="6" w:space="0" w:color="FFFFFF" w:themeColor="background1"/>
              <w:right w:val="single" w:sz="6" w:space="0" w:color="FFFFFF" w:themeColor="background1"/>
            </w:tcBorders>
          </w:tcPr>
          <w:p w14:paraId="7682263A"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(Roberts, 2021)</w:t>
            </w:r>
          </w:p>
        </w:tc>
      </w:tr>
      <w:tr w:rsidR="00E65452" w:rsidRPr="00D74E2F" w14:paraId="65B95D34" w14:textId="77777777" w:rsidTr="00626685">
        <w:tc>
          <w:tcPr>
            <w:tcW w:w="567" w:type="dxa"/>
            <w:vMerge/>
            <w:tcBorders>
              <w:left w:val="single" w:sz="6" w:space="0" w:color="FFFFFF" w:themeColor="background1"/>
              <w:bottom w:val="single" w:sz="4" w:space="0" w:color="FFFFFF" w:themeColor="background1"/>
              <w:right w:val="single" w:sz="6" w:space="0" w:color="FFFFFF" w:themeColor="background1"/>
            </w:tcBorders>
          </w:tcPr>
          <w:p w14:paraId="25180237" w14:textId="77777777" w:rsidR="00E65452" w:rsidRPr="00D74E2F"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418" w:type="dxa"/>
            <w:vMerge/>
            <w:tcBorders>
              <w:left w:val="single" w:sz="6" w:space="0" w:color="FFFFFF" w:themeColor="background1"/>
              <w:bottom w:val="single" w:sz="4" w:space="0" w:color="FFFFFF" w:themeColor="background1"/>
              <w:right w:val="single" w:sz="6" w:space="0" w:color="FFFFFF" w:themeColor="background1"/>
            </w:tcBorders>
          </w:tcPr>
          <w:p w14:paraId="2519BE57" w14:textId="77777777" w:rsidR="00E65452" w:rsidRPr="00D74E2F" w:rsidRDefault="00E65452" w:rsidP="00172AF8">
            <w:pPr>
              <w:widowControl w:val="0"/>
              <w:pBdr>
                <w:top w:val="nil"/>
                <w:left w:val="nil"/>
                <w:bottom w:val="nil"/>
                <w:right w:val="nil"/>
                <w:between w:val="nil"/>
              </w:pBdr>
              <w:spacing w:after="0"/>
              <w:rPr>
                <w:rFonts w:eastAsia="Times New Roman" w:cs="Arial"/>
                <w:color w:val="000000"/>
                <w:sz w:val="20"/>
                <w:szCs w:val="20"/>
              </w:rPr>
            </w:pPr>
          </w:p>
        </w:tc>
        <w:tc>
          <w:tcPr>
            <w:tcW w:w="1701" w:type="dxa"/>
            <w:tcBorders>
              <w:left w:val="single" w:sz="6" w:space="0" w:color="FFFFFF" w:themeColor="background1"/>
              <w:bottom w:val="single" w:sz="4" w:space="0" w:color="FFFFFF" w:themeColor="background1"/>
              <w:right w:val="single" w:sz="6" w:space="0" w:color="FFFFFF" w:themeColor="background1"/>
            </w:tcBorders>
          </w:tcPr>
          <w:p w14:paraId="67A7D895"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Efectos del alcohol</w:t>
            </w:r>
          </w:p>
        </w:tc>
        <w:tc>
          <w:tcPr>
            <w:tcW w:w="4086" w:type="dxa"/>
            <w:tcBorders>
              <w:left w:val="single" w:sz="6" w:space="0" w:color="FFFFFF" w:themeColor="background1"/>
              <w:bottom w:val="single" w:sz="4" w:space="0" w:color="FFFFFF" w:themeColor="background1"/>
              <w:right w:val="single" w:sz="6" w:space="0" w:color="FFFFFF" w:themeColor="background1"/>
            </w:tcBorders>
          </w:tcPr>
          <w:p w14:paraId="2D2CC930"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Integrar moderadores con experiencia que motiven a la participación por la fuente de aprendizaje que representan. </w:t>
            </w:r>
          </w:p>
        </w:tc>
        <w:tc>
          <w:tcPr>
            <w:tcW w:w="1469" w:type="dxa"/>
            <w:tcBorders>
              <w:left w:val="single" w:sz="6" w:space="0" w:color="FFFFFF" w:themeColor="background1"/>
              <w:bottom w:val="single" w:sz="4" w:space="0" w:color="FFFFFF" w:themeColor="background1"/>
              <w:right w:val="single" w:sz="6" w:space="0" w:color="FFFFFF" w:themeColor="background1"/>
            </w:tcBorders>
          </w:tcPr>
          <w:p w14:paraId="2A2EEFFC"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Ponsford</w:t>
            </w:r>
            <w:proofErr w:type="spellEnd"/>
            <w:r w:rsidRPr="00D74E2F">
              <w:rPr>
                <w:rFonts w:eastAsia="Times New Roman" w:cs="Arial"/>
                <w:color w:val="000000"/>
                <w:sz w:val="20"/>
                <w:szCs w:val="20"/>
              </w:rPr>
              <w:t xml:space="preserve"> et al., 2017)</w:t>
            </w:r>
          </w:p>
        </w:tc>
      </w:tr>
      <w:tr w:rsidR="00E65452" w:rsidRPr="00D74E2F" w14:paraId="78EE4A5F" w14:textId="77777777" w:rsidTr="00626685">
        <w:tc>
          <w:tcPr>
            <w:tcW w:w="567" w:type="dxa"/>
            <w:tcBorders>
              <w:top w:val="single" w:sz="4" w:space="0" w:color="FFFFFF" w:themeColor="background1"/>
              <w:left w:val="single" w:sz="6" w:space="0" w:color="FFFFFF" w:themeColor="background1"/>
              <w:right w:val="single" w:sz="6" w:space="0" w:color="FFFFFF" w:themeColor="background1"/>
            </w:tcBorders>
          </w:tcPr>
          <w:p w14:paraId="133978BF"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4C</w:t>
            </w:r>
          </w:p>
        </w:tc>
        <w:tc>
          <w:tcPr>
            <w:tcW w:w="1418" w:type="dxa"/>
            <w:tcBorders>
              <w:top w:val="single" w:sz="4" w:space="0" w:color="FFFFFF" w:themeColor="background1"/>
              <w:left w:val="single" w:sz="6" w:space="0" w:color="FFFFFF" w:themeColor="background1"/>
              <w:right w:val="single" w:sz="6" w:space="0" w:color="FFFFFF" w:themeColor="background1"/>
            </w:tcBorders>
          </w:tcPr>
          <w:p w14:paraId="1ED9FD99"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Gobernanza</w:t>
            </w:r>
          </w:p>
        </w:tc>
        <w:tc>
          <w:tcPr>
            <w:tcW w:w="1701" w:type="dxa"/>
            <w:tcBorders>
              <w:top w:val="single" w:sz="4" w:space="0" w:color="FFFFFF" w:themeColor="background1"/>
              <w:left w:val="single" w:sz="6" w:space="0" w:color="FFFFFF" w:themeColor="background1"/>
              <w:right w:val="single" w:sz="6" w:space="0" w:color="FFFFFF" w:themeColor="background1"/>
            </w:tcBorders>
          </w:tcPr>
          <w:p w14:paraId="2BE291A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Informática médica y la investigación en servicios de salud.</w:t>
            </w:r>
          </w:p>
        </w:tc>
        <w:tc>
          <w:tcPr>
            <w:tcW w:w="4086" w:type="dxa"/>
            <w:tcBorders>
              <w:top w:val="single" w:sz="4" w:space="0" w:color="FFFFFF" w:themeColor="background1"/>
              <w:left w:val="single" w:sz="6" w:space="0" w:color="FFFFFF" w:themeColor="background1"/>
              <w:right w:val="single" w:sz="6" w:space="0" w:color="FFFFFF" w:themeColor="background1"/>
            </w:tcBorders>
          </w:tcPr>
          <w:p w14:paraId="2DF98610"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Informar estrategias, procesos y mecanismos de comunicación, involucrando enfoques para el flujo del trabajo. </w:t>
            </w:r>
          </w:p>
        </w:tc>
        <w:tc>
          <w:tcPr>
            <w:tcW w:w="1469" w:type="dxa"/>
            <w:tcBorders>
              <w:top w:val="single" w:sz="4" w:space="0" w:color="FFFFFF" w:themeColor="background1"/>
              <w:left w:val="single" w:sz="6" w:space="0" w:color="FFFFFF" w:themeColor="background1"/>
              <w:right w:val="single" w:sz="6" w:space="0" w:color="FFFFFF" w:themeColor="background1"/>
            </w:tcBorders>
          </w:tcPr>
          <w:p w14:paraId="5898CC9B"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(Austin et al., 2021)</w:t>
            </w:r>
          </w:p>
        </w:tc>
      </w:tr>
    </w:tbl>
    <w:p w14:paraId="6E7C6E34" w14:textId="77777777" w:rsidR="00D74E2F" w:rsidRDefault="00D74E2F" w:rsidP="00E65452">
      <w:pPr>
        <w:spacing w:after="0" w:line="480" w:lineRule="auto"/>
        <w:rPr>
          <w:rFonts w:eastAsia="Times New Roman" w:cs="Arial"/>
          <w:b/>
        </w:rPr>
      </w:pPr>
    </w:p>
    <w:p w14:paraId="11032E72" w14:textId="513161A9" w:rsidR="00E65452" w:rsidRPr="00817254" w:rsidRDefault="00E65452" w:rsidP="00E65452">
      <w:pPr>
        <w:spacing w:after="0" w:line="480" w:lineRule="auto"/>
        <w:rPr>
          <w:rFonts w:eastAsia="Times New Roman" w:cs="Arial"/>
          <w:b/>
        </w:rPr>
      </w:pPr>
      <w:r w:rsidRPr="00817254">
        <w:rPr>
          <w:rFonts w:eastAsia="Times New Roman" w:cs="Arial"/>
          <w:b/>
        </w:rPr>
        <w:t>4. Integración, comunicación y evaluación</w:t>
      </w:r>
    </w:p>
    <w:p w14:paraId="67CF5ADE" w14:textId="77777777" w:rsidR="00E65452" w:rsidRPr="00817254" w:rsidRDefault="00E65452" w:rsidP="00B01ED3">
      <w:pPr>
        <w:spacing w:after="0"/>
        <w:rPr>
          <w:rFonts w:eastAsia="Times New Roman" w:cs="Arial"/>
          <w:color w:val="000000"/>
        </w:rPr>
      </w:pPr>
      <w:r w:rsidRPr="00817254">
        <w:rPr>
          <w:rFonts w:eastAsia="Times New Roman" w:cs="Arial"/>
        </w:rPr>
        <w:t xml:space="preserve">La doctrina del trabajo en red, parte de la noción de responsabilidad </w:t>
      </w:r>
      <w:r w:rsidRPr="00817254">
        <w:rPr>
          <w:rFonts w:eastAsia="Times New Roman" w:cs="Arial"/>
          <w:color w:val="000000"/>
        </w:rPr>
        <w:t>(</w:t>
      </w:r>
      <w:proofErr w:type="spellStart"/>
      <w:r w:rsidRPr="00817254">
        <w:rPr>
          <w:rFonts w:eastAsia="Times New Roman" w:cs="Arial"/>
          <w:color w:val="000000"/>
        </w:rPr>
        <w:t>Roulleaux</w:t>
      </w:r>
      <w:proofErr w:type="spellEnd"/>
      <w:r w:rsidRPr="00817254">
        <w:rPr>
          <w:rFonts w:eastAsia="Times New Roman" w:cs="Arial"/>
          <w:color w:val="000000"/>
        </w:rPr>
        <w:t>, 2008:43)</w:t>
      </w:r>
      <w:r w:rsidRPr="00817254">
        <w:rPr>
          <w:rFonts w:eastAsia="Times New Roman" w:cs="Arial"/>
        </w:rPr>
        <w:t xml:space="preserve"> y la corresponsabilidad en la evaluación de los resultados, incluyendo la consulta a los usuarios de la comunidad de práctica </w:t>
      </w:r>
      <w:proofErr w:type="spellStart"/>
      <w:r w:rsidRPr="00817254">
        <w:rPr>
          <w:rFonts w:eastAsia="Times New Roman" w:cs="Arial"/>
        </w:rPr>
        <w:t>CoP</w:t>
      </w:r>
      <w:proofErr w:type="spellEnd"/>
      <w:r w:rsidRPr="00817254">
        <w:rPr>
          <w:rFonts w:eastAsia="Times New Roman" w:cs="Arial"/>
        </w:rPr>
        <w:t xml:space="preserve"> sobre los beneficios percibidos </w:t>
      </w:r>
      <w:r w:rsidRPr="00817254">
        <w:rPr>
          <w:rFonts w:eastAsia="Times New Roman" w:cs="Arial"/>
          <w:color w:val="000000"/>
        </w:rPr>
        <w:t xml:space="preserve">(García Valcárcel et al., 2018). </w:t>
      </w:r>
    </w:p>
    <w:p w14:paraId="14515205" w14:textId="61525C5F" w:rsidR="00E65452" w:rsidRPr="00817254" w:rsidRDefault="00E65452" w:rsidP="00B01ED3">
      <w:pPr>
        <w:spacing w:after="0"/>
        <w:ind w:firstLine="567"/>
        <w:rPr>
          <w:rFonts w:eastAsia="Times New Roman" w:cs="Arial"/>
        </w:rPr>
      </w:pPr>
      <w:r w:rsidRPr="00817254">
        <w:rPr>
          <w:rFonts w:eastAsia="Times New Roman" w:cs="Arial"/>
        </w:rPr>
        <w:t>Además de partir de la consulta y caracterización de los usuarios, se presentan espacios para la reconfiguración de la práctica, la negociación de los significados, lo cual aporta en el proceso de construcción de la identidad docente (Barrios-Martínez et al., 2019)</w:t>
      </w:r>
      <w:r w:rsidR="00E457BA" w:rsidRPr="00817254">
        <w:rPr>
          <w:rFonts w:eastAsia="Times New Roman" w:cs="Arial"/>
        </w:rPr>
        <w:t>, además de tener una visión amplia de los grupos de interés</w:t>
      </w:r>
      <w:r w:rsidR="00F46784" w:rsidRPr="00817254">
        <w:rPr>
          <w:rFonts w:eastAsia="Times New Roman" w:cs="Arial"/>
        </w:rPr>
        <w:t xml:space="preserve"> </w:t>
      </w:r>
      <w:sdt>
        <w:sdtPr>
          <w:rPr>
            <w:rFonts w:eastAsia="Times New Roman" w:cs="Arial"/>
            <w:color w:val="000000"/>
          </w:rPr>
          <w:tag w:val="MENDELEY_CITATION_v3_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"/>
          <w:id w:val="1504628460"/>
          <w:placeholder>
            <w:docPart w:val="DefaultPlaceholder_-1854013440"/>
          </w:placeholder>
        </w:sdtPr>
        <w:sdtEndPr/>
        <w:sdtContent>
          <w:r w:rsidR="00F46784" w:rsidRPr="00817254">
            <w:rPr>
              <w:rFonts w:eastAsia="Times New Roman" w:cs="Arial"/>
              <w:color w:val="000000"/>
            </w:rPr>
            <w:t xml:space="preserve">(Suárez </w:t>
          </w:r>
          <w:proofErr w:type="spellStart"/>
          <w:r w:rsidR="00F46784" w:rsidRPr="00817254">
            <w:rPr>
              <w:rFonts w:eastAsia="Times New Roman" w:cs="Arial"/>
              <w:color w:val="000000"/>
            </w:rPr>
            <w:t>Caimary</w:t>
          </w:r>
          <w:proofErr w:type="spellEnd"/>
          <w:r w:rsidR="00F46784" w:rsidRPr="00817254">
            <w:rPr>
              <w:rFonts w:eastAsia="Times New Roman" w:cs="Arial"/>
              <w:color w:val="000000"/>
            </w:rPr>
            <w:t xml:space="preserve"> et al., 2022)</w:t>
          </w:r>
        </w:sdtContent>
      </w:sdt>
      <w:r w:rsidR="00F46784" w:rsidRPr="00817254">
        <w:rPr>
          <w:rFonts w:eastAsia="Times New Roman" w:cs="Arial"/>
          <w:color w:val="000000"/>
        </w:rPr>
        <w:t>, como soporte a cualquier acción comunicativa.</w:t>
      </w:r>
    </w:p>
    <w:p w14:paraId="5F523A88" w14:textId="77777777" w:rsidR="00B01ED3" w:rsidRPr="00817254" w:rsidRDefault="00B01ED3" w:rsidP="00B01ED3">
      <w:pPr>
        <w:spacing w:after="0"/>
        <w:ind w:firstLine="567"/>
        <w:rPr>
          <w:rFonts w:eastAsia="Times New Roman" w:cs="Arial"/>
        </w:rPr>
      </w:pPr>
    </w:p>
    <w:p w14:paraId="1AAF4991" w14:textId="25D108FB" w:rsidR="00E65452" w:rsidRPr="00817254" w:rsidRDefault="00E65452" w:rsidP="00172AF8">
      <w:pPr>
        <w:spacing w:after="0"/>
        <w:rPr>
          <w:rFonts w:eastAsia="Times New Roman" w:cs="Arial"/>
        </w:rPr>
      </w:pPr>
      <w:r w:rsidRPr="00817254">
        <w:rPr>
          <w:rFonts w:eastAsia="Times New Roman" w:cs="Arial"/>
        </w:rPr>
        <w:t xml:space="preserve">En los procesos educativos, se da voz a los participantes y se evita el mantener las jerarquías o los medios de comunicación verticales, que otorgan la autoridad a un único o </w:t>
      </w:r>
      <w:r w:rsidRPr="00817254">
        <w:rPr>
          <w:rFonts w:eastAsia="Times New Roman" w:cs="Arial"/>
        </w:rPr>
        <w:lastRenderedPageBreak/>
        <w:t>únicos participantes, sino que, dando la posibilidad de comunicar los aprendizajes, además de las dificultades que se presentan en el proceso (Vieira, 2019).</w:t>
      </w:r>
    </w:p>
    <w:p w14:paraId="74BD1F56" w14:textId="77777777" w:rsidR="00B01ED3" w:rsidRPr="00817254" w:rsidRDefault="00B01ED3" w:rsidP="00B01ED3">
      <w:pPr>
        <w:pBdr>
          <w:top w:val="nil"/>
          <w:left w:val="nil"/>
          <w:bottom w:val="nil"/>
          <w:right w:val="nil"/>
          <w:between w:val="nil"/>
        </w:pBdr>
        <w:rPr>
          <w:rFonts w:eastAsia="Times New Roman" w:cs="Arial"/>
          <w:b/>
          <w:color w:val="000000"/>
        </w:rPr>
      </w:pPr>
    </w:p>
    <w:p w14:paraId="5FF7A8A1" w14:textId="73D25A4B" w:rsidR="00626685" w:rsidRPr="00D74E2F" w:rsidRDefault="00E65452" w:rsidP="00626685">
      <w:pPr>
        <w:pBdr>
          <w:top w:val="nil"/>
          <w:left w:val="nil"/>
          <w:bottom w:val="nil"/>
          <w:right w:val="nil"/>
          <w:between w:val="nil"/>
        </w:pBdr>
        <w:spacing w:after="0"/>
        <w:rPr>
          <w:rFonts w:eastAsia="Times New Roman" w:cs="Arial"/>
          <w:b/>
          <w:color w:val="000000"/>
          <w:sz w:val="20"/>
          <w:szCs w:val="20"/>
        </w:rPr>
      </w:pPr>
      <w:r w:rsidRPr="00D74E2F">
        <w:rPr>
          <w:rFonts w:eastAsia="Times New Roman" w:cs="Arial"/>
          <w:b/>
          <w:color w:val="000000"/>
          <w:sz w:val="20"/>
          <w:szCs w:val="20"/>
        </w:rPr>
        <w:t>Tabla 6</w:t>
      </w:r>
    </w:p>
    <w:p w14:paraId="59D0E7E3" w14:textId="5CA5CEB4" w:rsidR="00E65452" w:rsidRPr="00D74E2F" w:rsidRDefault="00E65452" w:rsidP="00626685">
      <w:pPr>
        <w:pBdr>
          <w:top w:val="nil"/>
          <w:left w:val="nil"/>
          <w:bottom w:val="nil"/>
          <w:right w:val="nil"/>
          <w:between w:val="nil"/>
        </w:pBdr>
        <w:spacing w:after="0"/>
        <w:rPr>
          <w:rFonts w:eastAsia="Times New Roman" w:cs="Arial"/>
          <w:i/>
          <w:color w:val="000000"/>
          <w:sz w:val="20"/>
          <w:szCs w:val="20"/>
        </w:rPr>
      </w:pPr>
      <w:r w:rsidRPr="00D74E2F">
        <w:rPr>
          <w:rFonts w:eastAsia="Times New Roman" w:cs="Arial"/>
          <w:i/>
          <w:color w:val="000000"/>
          <w:sz w:val="20"/>
          <w:szCs w:val="20"/>
        </w:rPr>
        <w:t>Lineamientos para Integración, comunicación y evaluación</w:t>
      </w:r>
    </w:p>
    <w:tbl>
      <w:tblPr>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1701"/>
        <w:gridCol w:w="1843"/>
        <w:gridCol w:w="3540"/>
        <w:gridCol w:w="1279"/>
      </w:tblGrid>
      <w:tr w:rsidR="00E65452" w:rsidRPr="00D74E2F" w14:paraId="32C79269" w14:textId="77777777" w:rsidTr="002019E0">
        <w:trPr>
          <w:tblHeader/>
        </w:trPr>
        <w:tc>
          <w:tcPr>
            <w:tcW w:w="567" w:type="dxa"/>
            <w:tcBorders>
              <w:left w:val="single" w:sz="6" w:space="0" w:color="FFFFFF" w:themeColor="background1"/>
              <w:right w:val="single" w:sz="6" w:space="0" w:color="FFFFFF" w:themeColor="background1"/>
            </w:tcBorders>
          </w:tcPr>
          <w:p w14:paraId="08C045B8"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Nº</w:t>
            </w:r>
          </w:p>
        </w:tc>
        <w:tc>
          <w:tcPr>
            <w:tcW w:w="1701" w:type="dxa"/>
            <w:tcBorders>
              <w:left w:val="single" w:sz="6" w:space="0" w:color="FFFFFF" w:themeColor="background1"/>
              <w:right w:val="single" w:sz="6" w:space="0" w:color="FFFFFF" w:themeColor="background1"/>
            </w:tcBorders>
          </w:tcPr>
          <w:p w14:paraId="533F5406"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 xml:space="preserve">Acciones </w:t>
            </w:r>
          </w:p>
        </w:tc>
        <w:tc>
          <w:tcPr>
            <w:tcW w:w="1843" w:type="dxa"/>
            <w:tcBorders>
              <w:left w:val="single" w:sz="6" w:space="0" w:color="FFFFFF" w:themeColor="background1"/>
              <w:right w:val="single" w:sz="6" w:space="0" w:color="FFFFFF" w:themeColor="background1"/>
            </w:tcBorders>
          </w:tcPr>
          <w:p w14:paraId="3F873C27"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Dominio</w:t>
            </w:r>
          </w:p>
        </w:tc>
        <w:tc>
          <w:tcPr>
            <w:tcW w:w="3540" w:type="dxa"/>
            <w:tcBorders>
              <w:left w:val="single" w:sz="6" w:space="0" w:color="FFFFFF" w:themeColor="background1"/>
              <w:right w:val="single" w:sz="6" w:space="0" w:color="FFFFFF" w:themeColor="background1"/>
            </w:tcBorders>
          </w:tcPr>
          <w:p w14:paraId="421B7311"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Explicación</w:t>
            </w:r>
          </w:p>
        </w:tc>
        <w:tc>
          <w:tcPr>
            <w:tcW w:w="1279" w:type="dxa"/>
            <w:tcBorders>
              <w:left w:val="single" w:sz="6" w:space="0" w:color="FFFFFF" w:themeColor="background1"/>
              <w:right w:val="single" w:sz="6" w:space="0" w:color="FFFFFF" w:themeColor="background1"/>
            </w:tcBorders>
          </w:tcPr>
          <w:p w14:paraId="321A3748" w14:textId="77777777" w:rsidR="00E65452" w:rsidRPr="00D74E2F" w:rsidRDefault="00E65452" w:rsidP="00172AF8">
            <w:pPr>
              <w:spacing w:after="0"/>
              <w:rPr>
                <w:rFonts w:eastAsia="Times New Roman" w:cs="Arial"/>
                <w:b/>
                <w:sz w:val="20"/>
                <w:szCs w:val="20"/>
              </w:rPr>
            </w:pPr>
            <w:r w:rsidRPr="00D74E2F">
              <w:rPr>
                <w:rFonts w:eastAsia="Times New Roman" w:cs="Arial"/>
                <w:b/>
                <w:sz w:val="20"/>
                <w:szCs w:val="20"/>
              </w:rPr>
              <w:t>Fuente</w:t>
            </w:r>
          </w:p>
        </w:tc>
      </w:tr>
      <w:tr w:rsidR="00E65452" w:rsidRPr="00D74E2F" w14:paraId="5B5DA533" w14:textId="77777777" w:rsidTr="00626685">
        <w:tc>
          <w:tcPr>
            <w:tcW w:w="567" w:type="dxa"/>
            <w:tcBorders>
              <w:left w:val="single" w:sz="6" w:space="0" w:color="FFFFFF" w:themeColor="background1"/>
              <w:bottom w:val="single" w:sz="4" w:space="0" w:color="FFFFFF" w:themeColor="background1"/>
              <w:right w:val="single" w:sz="6" w:space="0" w:color="FFFFFF" w:themeColor="background1"/>
            </w:tcBorders>
          </w:tcPr>
          <w:p w14:paraId="2D488409"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5A</w:t>
            </w:r>
          </w:p>
        </w:tc>
        <w:tc>
          <w:tcPr>
            <w:tcW w:w="1701" w:type="dxa"/>
            <w:tcBorders>
              <w:left w:val="single" w:sz="6" w:space="0" w:color="FFFFFF" w:themeColor="background1"/>
              <w:bottom w:val="single" w:sz="4" w:space="0" w:color="FFFFFF" w:themeColor="background1"/>
              <w:right w:val="single" w:sz="6" w:space="0" w:color="FFFFFF" w:themeColor="background1"/>
            </w:tcBorders>
          </w:tcPr>
          <w:p w14:paraId="51FE2875"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Enfoque en mejoramiento continuo</w:t>
            </w:r>
          </w:p>
        </w:tc>
        <w:tc>
          <w:tcPr>
            <w:tcW w:w="1843" w:type="dxa"/>
            <w:tcBorders>
              <w:left w:val="single" w:sz="6" w:space="0" w:color="FFFFFF" w:themeColor="background1"/>
              <w:bottom w:val="single" w:sz="4" w:space="0" w:color="FFFFFF" w:themeColor="background1"/>
              <w:right w:val="single" w:sz="6" w:space="0" w:color="FFFFFF" w:themeColor="background1"/>
            </w:tcBorders>
          </w:tcPr>
          <w:p w14:paraId="1E62EC85" w14:textId="77777777" w:rsidR="00E65452" w:rsidRPr="00D74E2F" w:rsidRDefault="00E65452" w:rsidP="00172AF8">
            <w:pPr>
              <w:spacing w:after="0"/>
              <w:rPr>
                <w:rFonts w:eastAsia="Times New Roman" w:cs="Arial"/>
                <w:sz w:val="20"/>
                <w:szCs w:val="20"/>
              </w:rPr>
            </w:pPr>
            <w:proofErr w:type="spellStart"/>
            <w:r w:rsidRPr="00D74E2F">
              <w:rPr>
                <w:rFonts w:eastAsia="Times New Roman" w:cs="Arial"/>
                <w:sz w:val="20"/>
                <w:szCs w:val="20"/>
              </w:rPr>
              <w:t>CoP</w:t>
            </w:r>
            <w:proofErr w:type="spellEnd"/>
            <w:r w:rsidRPr="00D74E2F">
              <w:rPr>
                <w:rFonts w:eastAsia="Times New Roman" w:cs="Arial"/>
                <w:sz w:val="20"/>
                <w:szCs w:val="20"/>
              </w:rPr>
              <w:t xml:space="preserve"> multidimensional- Soporte en seguridad social a menores.</w:t>
            </w:r>
          </w:p>
        </w:tc>
        <w:tc>
          <w:tcPr>
            <w:tcW w:w="3540" w:type="dxa"/>
            <w:tcBorders>
              <w:left w:val="single" w:sz="6" w:space="0" w:color="FFFFFF" w:themeColor="background1"/>
              <w:bottom w:val="single" w:sz="4" w:space="0" w:color="FFFFFF" w:themeColor="background1"/>
              <w:right w:val="single" w:sz="6" w:space="0" w:color="FFFFFF" w:themeColor="background1"/>
            </w:tcBorders>
          </w:tcPr>
          <w:p w14:paraId="54185FE4"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Incrementar la capacidad de respuesta para el logro de las mejoras que se proponen en consenso. </w:t>
            </w:r>
          </w:p>
        </w:tc>
        <w:tc>
          <w:tcPr>
            <w:tcW w:w="1279" w:type="dxa"/>
            <w:tcBorders>
              <w:left w:val="single" w:sz="6" w:space="0" w:color="FFFFFF" w:themeColor="background1"/>
              <w:bottom w:val="single" w:sz="4" w:space="0" w:color="FFFFFF" w:themeColor="background1"/>
              <w:right w:val="single" w:sz="6" w:space="0" w:color="FFFFFF" w:themeColor="background1"/>
            </w:tcBorders>
          </w:tcPr>
          <w:p w14:paraId="462382CC" w14:textId="77777777" w:rsidR="00E65452" w:rsidRPr="00D74E2F" w:rsidRDefault="00E65452" w:rsidP="00172AF8">
            <w:pPr>
              <w:spacing w:after="0"/>
              <w:rPr>
                <w:rFonts w:eastAsia="Times New Roman" w:cs="Arial"/>
                <w:sz w:val="20"/>
                <w:szCs w:val="20"/>
              </w:rPr>
            </w:pPr>
            <w:r w:rsidRPr="00D74E2F">
              <w:rPr>
                <w:rFonts w:eastAsia="Times New Roman" w:cs="Arial"/>
                <w:color w:val="000000"/>
                <w:sz w:val="20"/>
                <w:szCs w:val="20"/>
              </w:rPr>
              <w:t>(Golden et al., 2019)</w:t>
            </w:r>
          </w:p>
        </w:tc>
      </w:tr>
      <w:tr w:rsidR="00E65452" w:rsidRPr="00D74E2F" w14:paraId="17C9FF37" w14:textId="77777777" w:rsidTr="00626685">
        <w:tc>
          <w:tcPr>
            <w:tcW w:w="567" w:type="dxa"/>
            <w:vMerge w:val="restart"/>
            <w:tcBorders>
              <w:top w:val="single" w:sz="4" w:space="0" w:color="FFFFFF" w:themeColor="background1"/>
              <w:left w:val="single" w:sz="6" w:space="0" w:color="FFFFFF" w:themeColor="background1"/>
              <w:right w:val="single" w:sz="6" w:space="0" w:color="FFFFFF" w:themeColor="background1"/>
            </w:tcBorders>
          </w:tcPr>
          <w:p w14:paraId="32976E3E"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5B</w:t>
            </w:r>
          </w:p>
        </w:tc>
        <w:tc>
          <w:tcPr>
            <w:tcW w:w="1701" w:type="dxa"/>
            <w:vMerge w:val="restart"/>
            <w:tcBorders>
              <w:top w:val="single" w:sz="4" w:space="0" w:color="FFFFFF" w:themeColor="background1"/>
              <w:left w:val="single" w:sz="6" w:space="0" w:color="FFFFFF" w:themeColor="background1"/>
              <w:right w:val="single" w:sz="6" w:space="0" w:color="FFFFFF" w:themeColor="background1"/>
            </w:tcBorders>
          </w:tcPr>
          <w:p w14:paraId="766D1CC2"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Ambiente propio de aprendizaje</w:t>
            </w:r>
          </w:p>
        </w:tc>
        <w:tc>
          <w:tcPr>
            <w:tcW w:w="1843" w:type="dxa"/>
            <w:tcBorders>
              <w:top w:val="single" w:sz="4" w:space="0" w:color="FFFFFF" w:themeColor="background1"/>
              <w:left w:val="single" w:sz="6" w:space="0" w:color="FFFFFF" w:themeColor="background1"/>
              <w:right w:val="single" w:sz="6" w:space="0" w:color="FFFFFF" w:themeColor="background1"/>
            </w:tcBorders>
          </w:tcPr>
          <w:p w14:paraId="52F52F51"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Prevención y mejoramiento en salud</w:t>
            </w:r>
          </w:p>
        </w:tc>
        <w:tc>
          <w:tcPr>
            <w:tcW w:w="3540" w:type="dxa"/>
            <w:tcBorders>
              <w:top w:val="single" w:sz="4" w:space="0" w:color="FFFFFF" w:themeColor="background1"/>
              <w:left w:val="single" w:sz="6" w:space="0" w:color="FFFFFF" w:themeColor="background1"/>
              <w:right w:val="single" w:sz="6" w:space="0" w:color="FFFFFF" w:themeColor="background1"/>
            </w:tcBorders>
          </w:tcPr>
          <w:p w14:paraId="2325258C"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Definir plataformas de trabajo con acceso y con la posibilidad de clasificar y etiquetar información. </w:t>
            </w:r>
          </w:p>
        </w:tc>
        <w:tc>
          <w:tcPr>
            <w:tcW w:w="1279" w:type="dxa"/>
            <w:tcBorders>
              <w:top w:val="single" w:sz="4" w:space="0" w:color="FFFFFF" w:themeColor="background1"/>
              <w:left w:val="single" w:sz="6" w:space="0" w:color="FFFFFF" w:themeColor="background1"/>
              <w:right w:val="single" w:sz="6" w:space="0" w:color="FFFFFF" w:themeColor="background1"/>
            </w:tcBorders>
          </w:tcPr>
          <w:p w14:paraId="631E2DA5" w14:textId="77777777" w:rsidR="00E65452" w:rsidRPr="00D74E2F" w:rsidRDefault="00E65452" w:rsidP="00172AF8">
            <w:pPr>
              <w:spacing w:after="0"/>
              <w:rPr>
                <w:rFonts w:eastAsia="Times New Roman" w:cs="Arial"/>
                <w:sz w:val="20"/>
                <w:szCs w:val="20"/>
              </w:rPr>
            </w:pPr>
            <w:r w:rsidRPr="00D74E2F">
              <w:rPr>
                <w:rFonts w:eastAsia="Times New Roman" w:cs="Arial"/>
                <w:color w:val="000000"/>
                <w:sz w:val="20"/>
                <w:szCs w:val="20"/>
              </w:rPr>
              <w:t>(Duarte et al., 2020)</w:t>
            </w:r>
          </w:p>
        </w:tc>
      </w:tr>
      <w:tr w:rsidR="00E65452" w:rsidRPr="00D74E2F" w14:paraId="38C64DC6" w14:textId="77777777" w:rsidTr="00626685">
        <w:tc>
          <w:tcPr>
            <w:tcW w:w="567" w:type="dxa"/>
            <w:vMerge/>
            <w:tcBorders>
              <w:left w:val="single" w:sz="6" w:space="0" w:color="FFFFFF" w:themeColor="background1"/>
              <w:bottom w:val="single" w:sz="4" w:space="0" w:color="FFFFFF" w:themeColor="background1"/>
              <w:right w:val="single" w:sz="6" w:space="0" w:color="FFFFFF" w:themeColor="background1"/>
            </w:tcBorders>
          </w:tcPr>
          <w:p w14:paraId="3B50A684"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701" w:type="dxa"/>
            <w:vMerge/>
            <w:tcBorders>
              <w:left w:val="single" w:sz="6" w:space="0" w:color="FFFFFF" w:themeColor="background1"/>
              <w:bottom w:val="single" w:sz="4" w:space="0" w:color="FFFFFF" w:themeColor="background1"/>
              <w:right w:val="single" w:sz="6" w:space="0" w:color="FFFFFF" w:themeColor="background1"/>
            </w:tcBorders>
          </w:tcPr>
          <w:p w14:paraId="2010DF03" w14:textId="77777777" w:rsidR="00E65452" w:rsidRPr="00D74E2F" w:rsidRDefault="00E65452" w:rsidP="00172AF8">
            <w:pPr>
              <w:widowControl w:val="0"/>
              <w:pBdr>
                <w:top w:val="nil"/>
                <w:left w:val="nil"/>
                <w:bottom w:val="nil"/>
                <w:right w:val="nil"/>
                <w:between w:val="nil"/>
              </w:pBdr>
              <w:spacing w:after="0"/>
              <w:rPr>
                <w:rFonts w:eastAsia="Times New Roman" w:cs="Arial"/>
                <w:sz w:val="20"/>
                <w:szCs w:val="20"/>
              </w:rPr>
            </w:pPr>
          </w:p>
        </w:tc>
        <w:tc>
          <w:tcPr>
            <w:tcW w:w="1843" w:type="dxa"/>
            <w:tcBorders>
              <w:left w:val="single" w:sz="6" w:space="0" w:color="FFFFFF" w:themeColor="background1"/>
              <w:bottom w:val="single" w:sz="4" w:space="0" w:color="FFFFFF" w:themeColor="background1"/>
              <w:right w:val="single" w:sz="6" w:space="0" w:color="FFFFFF" w:themeColor="background1"/>
            </w:tcBorders>
          </w:tcPr>
          <w:p w14:paraId="42482D63"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Soluciones hipotéticas para TI</w:t>
            </w:r>
          </w:p>
        </w:tc>
        <w:tc>
          <w:tcPr>
            <w:tcW w:w="3540" w:type="dxa"/>
            <w:tcBorders>
              <w:left w:val="single" w:sz="6" w:space="0" w:color="FFFFFF" w:themeColor="background1"/>
              <w:bottom w:val="single" w:sz="4" w:space="0" w:color="FFFFFF" w:themeColor="background1"/>
              <w:right w:val="single" w:sz="6" w:space="0" w:color="FFFFFF" w:themeColor="background1"/>
            </w:tcBorders>
          </w:tcPr>
          <w:p w14:paraId="66020AC0"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Entornos que permiten la participación física, mental y emocional.</w:t>
            </w:r>
          </w:p>
        </w:tc>
        <w:tc>
          <w:tcPr>
            <w:tcW w:w="1279" w:type="dxa"/>
            <w:tcBorders>
              <w:left w:val="single" w:sz="6" w:space="0" w:color="FFFFFF" w:themeColor="background1"/>
              <w:bottom w:val="single" w:sz="4" w:space="0" w:color="FFFFFF" w:themeColor="background1"/>
              <w:right w:val="single" w:sz="6" w:space="0" w:color="FFFFFF" w:themeColor="background1"/>
            </w:tcBorders>
          </w:tcPr>
          <w:p w14:paraId="77635524" w14:textId="77777777" w:rsidR="00E65452" w:rsidRPr="00D74E2F" w:rsidRDefault="00E65452" w:rsidP="00172AF8">
            <w:pPr>
              <w:spacing w:after="0"/>
              <w:rPr>
                <w:rFonts w:eastAsia="Times New Roman" w:cs="Arial"/>
                <w:sz w:val="20"/>
                <w:szCs w:val="20"/>
              </w:rPr>
            </w:pPr>
            <w:r w:rsidRPr="00D74E2F">
              <w:rPr>
                <w:rFonts w:cs="Arial"/>
                <w:sz w:val="20"/>
                <w:szCs w:val="20"/>
              </w:rPr>
              <w:t>(</w:t>
            </w:r>
            <w:proofErr w:type="spellStart"/>
            <w:r w:rsidRPr="00D74E2F">
              <w:rPr>
                <w:rFonts w:cs="Arial"/>
                <w:sz w:val="20"/>
                <w:szCs w:val="20"/>
              </w:rPr>
              <w:t>Murnane</w:t>
            </w:r>
            <w:proofErr w:type="spellEnd"/>
            <w:r w:rsidRPr="00D74E2F">
              <w:rPr>
                <w:rFonts w:cs="Arial"/>
                <w:sz w:val="20"/>
                <w:szCs w:val="20"/>
              </w:rPr>
              <w:t xml:space="preserve"> &amp; </w:t>
            </w:r>
            <w:proofErr w:type="spellStart"/>
            <w:r w:rsidRPr="00D74E2F">
              <w:rPr>
                <w:rFonts w:cs="Arial"/>
                <w:sz w:val="20"/>
                <w:szCs w:val="20"/>
              </w:rPr>
              <w:t>Browne</w:t>
            </w:r>
            <w:proofErr w:type="spellEnd"/>
            <w:r w:rsidRPr="00D74E2F">
              <w:rPr>
                <w:rFonts w:cs="Arial"/>
                <w:sz w:val="20"/>
                <w:szCs w:val="20"/>
              </w:rPr>
              <w:t>, 2016)</w:t>
            </w:r>
          </w:p>
        </w:tc>
      </w:tr>
      <w:tr w:rsidR="00E65452" w:rsidRPr="00D74E2F" w14:paraId="1033B7A2" w14:textId="77777777" w:rsidTr="00626685">
        <w:tc>
          <w:tcPr>
            <w:tcW w:w="567"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2AA27CF9"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5C</w:t>
            </w: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36A12058"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Estándares para las mejores contribuciones</w:t>
            </w:r>
          </w:p>
        </w:tc>
        <w:tc>
          <w:tcPr>
            <w:tcW w:w="184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5E62992C"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Cooperación científica</w:t>
            </w:r>
          </w:p>
        </w:tc>
        <w:tc>
          <w:tcPr>
            <w:tcW w:w="354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79B1896"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Establecer lineamientos para priorizar y evaluar lo que se produce en la Comunidad de práctica (</w:t>
            </w:r>
            <w:proofErr w:type="spellStart"/>
            <w:r w:rsidRPr="00D74E2F">
              <w:rPr>
                <w:rFonts w:eastAsia="Times New Roman" w:cs="Arial"/>
                <w:sz w:val="20"/>
                <w:szCs w:val="20"/>
              </w:rPr>
              <w:t>CoP</w:t>
            </w:r>
            <w:proofErr w:type="spellEnd"/>
            <w:r w:rsidRPr="00D74E2F">
              <w:rPr>
                <w:rFonts w:eastAsia="Times New Roman" w:cs="Arial"/>
                <w:sz w:val="20"/>
                <w:szCs w:val="20"/>
              </w:rPr>
              <w:t xml:space="preserve">), con fines de publicación externa como productos de nuevo conocimiento. </w:t>
            </w:r>
          </w:p>
        </w:tc>
        <w:tc>
          <w:tcPr>
            <w:tcW w:w="127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40ADFAC"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Handzic</w:t>
            </w:r>
            <w:proofErr w:type="spellEnd"/>
            <w:r w:rsidRPr="00D74E2F">
              <w:rPr>
                <w:rFonts w:eastAsia="Times New Roman" w:cs="Arial"/>
                <w:color w:val="000000"/>
                <w:sz w:val="20"/>
                <w:szCs w:val="20"/>
              </w:rPr>
              <w:t xml:space="preserve"> et al., 2021)</w:t>
            </w:r>
          </w:p>
        </w:tc>
      </w:tr>
      <w:tr w:rsidR="00E65452" w:rsidRPr="00D74E2F" w14:paraId="7EAD94F3" w14:textId="77777777" w:rsidTr="00626685">
        <w:tc>
          <w:tcPr>
            <w:tcW w:w="567"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2B1875C7"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5D</w:t>
            </w: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46B2869"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Retroalimentación </w:t>
            </w:r>
          </w:p>
        </w:tc>
        <w:tc>
          <w:tcPr>
            <w:tcW w:w="184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DFA2B2B"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Diseño de software (programadores y gestores)</w:t>
            </w:r>
          </w:p>
        </w:tc>
        <w:tc>
          <w:tcPr>
            <w:tcW w:w="354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1570776"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Seguimiento estrecho no punitivo, soportado en el aprendizaje que tolera los errores y la formulación de preguntas para la construcción de soluciones conjuntas. </w:t>
            </w:r>
          </w:p>
        </w:tc>
        <w:tc>
          <w:tcPr>
            <w:tcW w:w="127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2C5F0A5"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Hermanrud</w:t>
            </w:r>
            <w:proofErr w:type="spellEnd"/>
            <w:r w:rsidRPr="00D74E2F">
              <w:rPr>
                <w:rFonts w:eastAsia="Times New Roman" w:cs="Arial"/>
                <w:color w:val="000000"/>
                <w:sz w:val="20"/>
                <w:szCs w:val="20"/>
              </w:rPr>
              <w:t>, 2017)</w:t>
            </w:r>
          </w:p>
        </w:tc>
      </w:tr>
      <w:tr w:rsidR="00E65452" w:rsidRPr="00D74E2F" w14:paraId="4CDBC9C8" w14:textId="77777777" w:rsidTr="00626685">
        <w:tc>
          <w:tcPr>
            <w:tcW w:w="567" w:type="dxa"/>
            <w:tcBorders>
              <w:top w:val="single" w:sz="4" w:space="0" w:color="FFFFFF" w:themeColor="background1"/>
              <w:left w:val="single" w:sz="6" w:space="0" w:color="FFFFFF" w:themeColor="background1"/>
              <w:right w:val="single" w:sz="6" w:space="0" w:color="FFFFFF" w:themeColor="background1"/>
            </w:tcBorders>
          </w:tcPr>
          <w:p w14:paraId="64381DA7"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5E</w:t>
            </w:r>
          </w:p>
        </w:tc>
        <w:tc>
          <w:tcPr>
            <w:tcW w:w="1701" w:type="dxa"/>
            <w:tcBorders>
              <w:top w:val="single" w:sz="4" w:space="0" w:color="FFFFFF" w:themeColor="background1"/>
              <w:left w:val="single" w:sz="6" w:space="0" w:color="FFFFFF" w:themeColor="background1"/>
              <w:right w:val="single" w:sz="6" w:space="0" w:color="FFFFFF" w:themeColor="background1"/>
            </w:tcBorders>
          </w:tcPr>
          <w:p w14:paraId="57D68C6C"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Aprendizaje situado</w:t>
            </w:r>
          </w:p>
        </w:tc>
        <w:tc>
          <w:tcPr>
            <w:tcW w:w="1843" w:type="dxa"/>
            <w:tcBorders>
              <w:top w:val="single" w:sz="4" w:space="0" w:color="FFFFFF" w:themeColor="background1"/>
              <w:left w:val="single" w:sz="6" w:space="0" w:color="FFFFFF" w:themeColor="background1"/>
              <w:right w:val="single" w:sz="6" w:space="0" w:color="FFFFFF" w:themeColor="background1"/>
            </w:tcBorders>
          </w:tcPr>
          <w:p w14:paraId="5CD5F5A2"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Primera infancia</w:t>
            </w:r>
          </w:p>
        </w:tc>
        <w:tc>
          <w:tcPr>
            <w:tcW w:w="3540" w:type="dxa"/>
            <w:tcBorders>
              <w:top w:val="single" w:sz="4" w:space="0" w:color="FFFFFF" w:themeColor="background1"/>
              <w:left w:val="single" w:sz="6" w:space="0" w:color="FFFFFF" w:themeColor="background1"/>
              <w:right w:val="single" w:sz="6" w:space="0" w:color="FFFFFF" w:themeColor="background1"/>
            </w:tcBorders>
          </w:tcPr>
          <w:p w14:paraId="173D1EFF" w14:textId="77777777" w:rsidR="00E65452" w:rsidRPr="00D74E2F" w:rsidRDefault="00E65452" w:rsidP="00172AF8">
            <w:pPr>
              <w:spacing w:after="0"/>
              <w:rPr>
                <w:rFonts w:eastAsia="Times New Roman" w:cs="Arial"/>
                <w:sz w:val="20"/>
                <w:szCs w:val="20"/>
              </w:rPr>
            </w:pPr>
            <w:r w:rsidRPr="00D74E2F">
              <w:rPr>
                <w:rFonts w:eastAsia="Times New Roman" w:cs="Arial"/>
                <w:sz w:val="20"/>
                <w:szCs w:val="20"/>
              </w:rPr>
              <w:t xml:space="preserve">Cualquier mecanismo, herramienta o material de aprendizaje debe incluir un contexto. </w:t>
            </w:r>
          </w:p>
        </w:tc>
        <w:tc>
          <w:tcPr>
            <w:tcW w:w="1279" w:type="dxa"/>
            <w:tcBorders>
              <w:top w:val="single" w:sz="4" w:space="0" w:color="FFFFFF" w:themeColor="background1"/>
              <w:left w:val="single" w:sz="6" w:space="0" w:color="FFFFFF" w:themeColor="background1"/>
              <w:right w:val="single" w:sz="6" w:space="0" w:color="FFFFFF" w:themeColor="background1"/>
            </w:tcBorders>
          </w:tcPr>
          <w:p w14:paraId="1EDAD9A1" w14:textId="77777777" w:rsidR="00E65452" w:rsidRPr="00D74E2F" w:rsidRDefault="00E65452" w:rsidP="00172AF8">
            <w:pPr>
              <w:spacing w:after="0"/>
              <w:rPr>
                <w:rFonts w:eastAsia="Times New Roman" w:cs="Arial"/>
                <w:color w:val="000000"/>
                <w:sz w:val="20"/>
                <w:szCs w:val="20"/>
              </w:rPr>
            </w:pPr>
            <w:r w:rsidRPr="00D74E2F">
              <w:rPr>
                <w:rFonts w:eastAsia="Times New Roman" w:cs="Arial"/>
                <w:color w:val="000000"/>
                <w:sz w:val="20"/>
                <w:szCs w:val="20"/>
              </w:rPr>
              <w:t>(de Souza Machado et al., 2020)</w:t>
            </w:r>
          </w:p>
        </w:tc>
      </w:tr>
    </w:tbl>
    <w:p w14:paraId="26D8E4C2" w14:textId="77777777" w:rsidR="00E65452" w:rsidRPr="00817254" w:rsidRDefault="00E65452" w:rsidP="00E65452">
      <w:pPr>
        <w:spacing w:after="0" w:line="480" w:lineRule="auto"/>
        <w:rPr>
          <w:rFonts w:ascii="Times New Roman" w:eastAsia="Times New Roman" w:hAnsi="Times New Roman" w:cs="Times New Roman"/>
          <w:b/>
          <w:sz w:val="24"/>
          <w:szCs w:val="24"/>
        </w:rPr>
      </w:pPr>
    </w:p>
    <w:p w14:paraId="69CCBDEA" w14:textId="73ECE8F2" w:rsidR="00E65452" w:rsidRPr="00817254" w:rsidRDefault="00E65452" w:rsidP="00E65452">
      <w:pPr>
        <w:spacing w:after="0" w:line="480" w:lineRule="auto"/>
        <w:rPr>
          <w:rFonts w:eastAsia="Times New Roman" w:cs="Arial"/>
          <w:b/>
        </w:rPr>
      </w:pPr>
      <w:r w:rsidRPr="00817254">
        <w:rPr>
          <w:rFonts w:eastAsia="Times New Roman" w:cs="Arial"/>
          <w:b/>
        </w:rPr>
        <w:t>5. Progresión y niveles de participación</w:t>
      </w:r>
    </w:p>
    <w:p w14:paraId="6E9EB93C" w14:textId="45C6E8F2" w:rsidR="00E65452" w:rsidRPr="00817254" w:rsidRDefault="00E65452" w:rsidP="00B01ED3">
      <w:pPr>
        <w:spacing w:after="0"/>
        <w:rPr>
          <w:rFonts w:eastAsia="Times New Roman" w:cs="Arial"/>
          <w:color w:val="000000"/>
        </w:rPr>
      </w:pPr>
      <w:r w:rsidRPr="00817254">
        <w:rPr>
          <w:rFonts w:eastAsia="Times New Roman" w:cs="Arial"/>
        </w:rPr>
        <w:t xml:space="preserve">Los retos que enfrentan las </w:t>
      </w:r>
      <w:proofErr w:type="spellStart"/>
      <w:r w:rsidRPr="00817254">
        <w:rPr>
          <w:rFonts w:eastAsia="Times New Roman" w:cs="Arial"/>
        </w:rPr>
        <w:t>CoP</w:t>
      </w:r>
      <w:proofErr w:type="spellEnd"/>
      <w:r w:rsidRPr="00817254">
        <w:rPr>
          <w:rFonts w:eastAsia="Times New Roman" w:cs="Arial"/>
        </w:rPr>
        <w:t xml:space="preserve"> son mantener el interés de vinculación como una estrategia de aprendizaje con actualidad, que es capaz de transitar en un ciclo de vida que genera memoria para la organización </w:t>
      </w:r>
      <w:r w:rsidRPr="00817254">
        <w:rPr>
          <w:rFonts w:eastAsia="Times New Roman" w:cs="Arial"/>
          <w:color w:val="000000"/>
        </w:rPr>
        <w:t>(</w:t>
      </w:r>
      <w:proofErr w:type="spellStart"/>
      <w:r w:rsidRPr="00817254">
        <w:rPr>
          <w:rFonts w:eastAsia="Times New Roman" w:cs="Arial"/>
          <w:color w:val="000000"/>
        </w:rPr>
        <w:t>Roulleaux</w:t>
      </w:r>
      <w:proofErr w:type="spellEnd"/>
      <w:r w:rsidRPr="00817254">
        <w:rPr>
          <w:rFonts w:eastAsia="Times New Roman" w:cs="Arial"/>
          <w:color w:val="000000"/>
        </w:rPr>
        <w:t>, 2008)</w:t>
      </w:r>
      <w:r w:rsidRPr="00817254">
        <w:rPr>
          <w:rFonts w:eastAsia="Times New Roman" w:cs="Arial"/>
        </w:rPr>
        <w:t>; es por ello, por lo que los estudios se concentran en identificar factores motivacionales (</w:t>
      </w:r>
      <w:proofErr w:type="spellStart"/>
      <w:r w:rsidRPr="00817254">
        <w:rPr>
          <w:rFonts w:eastAsia="Times New Roman" w:cs="Arial"/>
        </w:rPr>
        <w:t>Mosala</w:t>
      </w:r>
      <w:proofErr w:type="spellEnd"/>
      <w:r w:rsidRPr="00817254">
        <w:rPr>
          <w:rFonts w:eastAsia="Times New Roman" w:cs="Arial"/>
        </w:rPr>
        <w:t xml:space="preserve">-Bryant &amp; </w:t>
      </w:r>
      <w:proofErr w:type="spellStart"/>
      <w:r w:rsidRPr="00817254">
        <w:rPr>
          <w:rFonts w:eastAsia="Times New Roman" w:cs="Arial"/>
        </w:rPr>
        <w:t>Hoskins</w:t>
      </w:r>
      <w:proofErr w:type="spellEnd"/>
      <w:r w:rsidRPr="00817254">
        <w:rPr>
          <w:rFonts w:eastAsia="Times New Roman" w:cs="Arial"/>
        </w:rPr>
        <w:t xml:space="preserve">, 2017), establecer métricas e indicadores para medir el avance de la práctica </w:t>
      </w:r>
      <w:r w:rsidRPr="00817254">
        <w:rPr>
          <w:rFonts w:eastAsia="Times New Roman" w:cs="Arial"/>
          <w:color w:val="000000"/>
        </w:rPr>
        <w:t>(</w:t>
      </w:r>
      <w:proofErr w:type="spellStart"/>
      <w:r w:rsidRPr="00817254">
        <w:rPr>
          <w:rFonts w:eastAsia="Times New Roman" w:cs="Arial"/>
          <w:color w:val="000000"/>
        </w:rPr>
        <w:t>Musteen</w:t>
      </w:r>
      <w:proofErr w:type="spellEnd"/>
      <w:r w:rsidRPr="00817254">
        <w:rPr>
          <w:rFonts w:eastAsia="Times New Roman" w:cs="Arial"/>
          <w:color w:val="000000"/>
        </w:rPr>
        <w:t xml:space="preserve"> et al., 2018) y estrategias que permitan integrar a los miembros periféricos y hacerlos activos de la comunidad de práctica. </w:t>
      </w:r>
    </w:p>
    <w:p w14:paraId="7AE3787B" w14:textId="4A5F3E66" w:rsidR="002019E0" w:rsidRPr="00817254" w:rsidRDefault="002019E0" w:rsidP="00B01ED3">
      <w:pPr>
        <w:spacing w:after="0"/>
        <w:rPr>
          <w:rFonts w:eastAsia="Times New Roman" w:cs="Arial"/>
          <w:color w:val="000000"/>
        </w:rPr>
      </w:pPr>
    </w:p>
    <w:p w14:paraId="1DAE2B00" w14:textId="77777777" w:rsidR="00626685" w:rsidRPr="00D74E2F" w:rsidRDefault="00E65452" w:rsidP="00626685">
      <w:pPr>
        <w:pBdr>
          <w:top w:val="nil"/>
          <w:left w:val="nil"/>
          <w:bottom w:val="nil"/>
          <w:right w:val="nil"/>
          <w:between w:val="nil"/>
        </w:pBdr>
        <w:spacing w:after="0"/>
        <w:rPr>
          <w:rFonts w:eastAsia="Times New Roman" w:cs="Arial"/>
          <w:b/>
          <w:color w:val="000000"/>
          <w:sz w:val="20"/>
          <w:szCs w:val="20"/>
        </w:rPr>
      </w:pPr>
      <w:r w:rsidRPr="00D74E2F">
        <w:rPr>
          <w:rFonts w:eastAsia="Times New Roman" w:cs="Arial"/>
          <w:b/>
          <w:color w:val="000000"/>
          <w:sz w:val="20"/>
          <w:szCs w:val="20"/>
        </w:rPr>
        <w:t>Tabla 7</w:t>
      </w:r>
      <w:r w:rsidR="00B01ED3" w:rsidRPr="00D74E2F">
        <w:rPr>
          <w:rFonts w:eastAsia="Times New Roman" w:cs="Arial"/>
          <w:b/>
          <w:color w:val="000000"/>
          <w:sz w:val="20"/>
          <w:szCs w:val="20"/>
        </w:rPr>
        <w:t xml:space="preserve">. </w:t>
      </w:r>
    </w:p>
    <w:p w14:paraId="42A53EC5" w14:textId="4D179B50" w:rsidR="00E65452" w:rsidRPr="00D74E2F" w:rsidRDefault="00E65452" w:rsidP="00626685">
      <w:pPr>
        <w:pBdr>
          <w:top w:val="nil"/>
          <w:left w:val="nil"/>
          <w:bottom w:val="nil"/>
          <w:right w:val="nil"/>
          <w:between w:val="nil"/>
        </w:pBdr>
        <w:spacing w:after="0"/>
        <w:rPr>
          <w:rFonts w:eastAsia="Times New Roman" w:cs="Arial"/>
          <w:i/>
          <w:sz w:val="20"/>
          <w:szCs w:val="20"/>
        </w:rPr>
      </w:pPr>
      <w:r w:rsidRPr="00D74E2F">
        <w:rPr>
          <w:rFonts w:eastAsia="Times New Roman" w:cs="Arial"/>
          <w:i/>
          <w:sz w:val="20"/>
          <w:szCs w:val="20"/>
        </w:rPr>
        <w:t>Lineamientos para la progresión y los niveles de participación</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559"/>
        <w:gridCol w:w="1701"/>
        <w:gridCol w:w="3845"/>
        <w:gridCol w:w="1117"/>
      </w:tblGrid>
      <w:tr w:rsidR="00E65452" w:rsidRPr="00D74E2F" w14:paraId="0630E58D" w14:textId="77777777" w:rsidTr="002019E0">
        <w:trPr>
          <w:tblHeader/>
        </w:trPr>
        <w:tc>
          <w:tcPr>
            <w:tcW w:w="709" w:type="dxa"/>
            <w:tcBorders>
              <w:left w:val="single" w:sz="6" w:space="0" w:color="FFFFFF" w:themeColor="background1"/>
              <w:right w:val="single" w:sz="6" w:space="0" w:color="FFFFFF" w:themeColor="background1"/>
            </w:tcBorders>
          </w:tcPr>
          <w:p w14:paraId="56B188E0"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Nº</w:t>
            </w:r>
          </w:p>
        </w:tc>
        <w:tc>
          <w:tcPr>
            <w:tcW w:w="1559" w:type="dxa"/>
            <w:tcBorders>
              <w:left w:val="single" w:sz="6" w:space="0" w:color="FFFFFF" w:themeColor="background1"/>
              <w:right w:val="single" w:sz="6" w:space="0" w:color="FFFFFF" w:themeColor="background1"/>
            </w:tcBorders>
          </w:tcPr>
          <w:p w14:paraId="73DCEB6A" w14:textId="77777777" w:rsidR="00E65452" w:rsidRPr="00D74E2F" w:rsidRDefault="00E65452" w:rsidP="002019E0">
            <w:pPr>
              <w:spacing w:after="0"/>
              <w:rPr>
                <w:rFonts w:eastAsia="Times New Roman" w:cs="Arial"/>
                <w:b/>
                <w:sz w:val="20"/>
                <w:szCs w:val="20"/>
              </w:rPr>
            </w:pPr>
            <w:r w:rsidRPr="00D74E2F">
              <w:rPr>
                <w:rFonts w:eastAsia="Times New Roman" w:cs="Arial"/>
                <w:b/>
                <w:sz w:val="20"/>
                <w:szCs w:val="20"/>
              </w:rPr>
              <w:t xml:space="preserve">Acciones </w:t>
            </w:r>
          </w:p>
        </w:tc>
        <w:tc>
          <w:tcPr>
            <w:tcW w:w="1701" w:type="dxa"/>
            <w:tcBorders>
              <w:left w:val="single" w:sz="6" w:space="0" w:color="FFFFFF" w:themeColor="background1"/>
              <w:right w:val="single" w:sz="6" w:space="0" w:color="FFFFFF" w:themeColor="background1"/>
            </w:tcBorders>
          </w:tcPr>
          <w:p w14:paraId="7D402CE0" w14:textId="77777777" w:rsidR="00E65452" w:rsidRPr="00D74E2F" w:rsidRDefault="00E65452" w:rsidP="002019E0">
            <w:pPr>
              <w:spacing w:after="0"/>
              <w:rPr>
                <w:rFonts w:eastAsia="Times New Roman" w:cs="Arial"/>
                <w:b/>
                <w:sz w:val="20"/>
                <w:szCs w:val="20"/>
              </w:rPr>
            </w:pPr>
            <w:r w:rsidRPr="00D74E2F">
              <w:rPr>
                <w:rFonts w:eastAsia="Times New Roman" w:cs="Arial"/>
                <w:b/>
                <w:sz w:val="20"/>
                <w:szCs w:val="20"/>
              </w:rPr>
              <w:t>Dominio</w:t>
            </w:r>
          </w:p>
        </w:tc>
        <w:tc>
          <w:tcPr>
            <w:tcW w:w="3845" w:type="dxa"/>
            <w:tcBorders>
              <w:left w:val="single" w:sz="6" w:space="0" w:color="FFFFFF" w:themeColor="background1"/>
              <w:right w:val="single" w:sz="6" w:space="0" w:color="FFFFFF" w:themeColor="background1"/>
            </w:tcBorders>
          </w:tcPr>
          <w:p w14:paraId="220698D2" w14:textId="77777777" w:rsidR="00E65452" w:rsidRPr="00D74E2F" w:rsidRDefault="00E65452" w:rsidP="002019E0">
            <w:pPr>
              <w:spacing w:after="0"/>
              <w:rPr>
                <w:rFonts w:eastAsia="Times New Roman" w:cs="Arial"/>
                <w:b/>
                <w:sz w:val="20"/>
                <w:szCs w:val="20"/>
              </w:rPr>
            </w:pPr>
            <w:r w:rsidRPr="00D74E2F">
              <w:rPr>
                <w:rFonts w:eastAsia="Times New Roman" w:cs="Arial"/>
                <w:b/>
                <w:sz w:val="20"/>
                <w:szCs w:val="20"/>
              </w:rPr>
              <w:t>Explicación</w:t>
            </w:r>
          </w:p>
        </w:tc>
        <w:tc>
          <w:tcPr>
            <w:tcW w:w="1117" w:type="dxa"/>
            <w:tcBorders>
              <w:left w:val="single" w:sz="6" w:space="0" w:color="FFFFFF" w:themeColor="background1"/>
              <w:right w:val="single" w:sz="6" w:space="0" w:color="FFFFFF" w:themeColor="background1"/>
            </w:tcBorders>
          </w:tcPr>
          <w:p w14:paraId="7221651C" w14:textId="77777777" w:rsidR="00E65452" w:rsidRPr="00D74E2F" w:rsidRDefault="00E65452" w:rsidP="002019E0">
            <w:pPr>
              <w:spacing w:after="0"/>
              <w:rPr>
                <w:rFonts w:eastAsia="Times New Roman" w:cs="Arial"/>
                <w:b/>
                <w:sz w:val="20"/>
                <w:szCs w:val="20"/>
              </w:rPr>
            </w:pPr>
            <w:r w:rsidRPr="00D74E2F">
              <w:rPr>
                <w:rFonts w:eastAsia="Times New Roman" w:cs="Arial"/>
                <w:b/>
                <w:sz w:val="20"/>
                <w:szCs w:val="20"/>
              </w:rPr>
              <w:t>Fuente</w:t>
            </w:r>
          </w:p>
        </w:tc>
      </w:tr>
      <w:tr w:rsidR="00E65452" w:rsidRPr="00D74E2F" w14:paraId="1191011A" w14:textId="77777777" w:rsidTr="00626685">
        <w:tc>
          <w:tcPr>
            <w:tcW w:w="709" w:type="dxa"/>
            <w:tcBorders>
              <w:left w:val="single" w:sz="6" w:space="0" w:color="FFFFFF" w:themeColor="background1"/>
              <w:bottom w:val="single" w:sz="4" w:space="0" w:color="FFFFFF" w:themeColor="background1"/>
              <w:right w:val="single" w:sz="6" w:space="0" w:color="FFFFFF" w:themeColor="background1"/>
            </w:tcBorders>
          </w:tcPr>
          <w:p w14:paraId="1CE307CD"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6A</w:t>
            </w:r>
          </w:p>
        </w:tc>
        <w:tc>
          <w:tcPr>
            <w:tcW w:w="1559" w:type="dxa"/>
            <w:tcBorders>
              <w:left w:val="single" w:sz="6" w:space="0" w:color="FFFFFF" w:themeColor="background1"/>
              <w:bottom w:val="single" w:sz="4" w:space="0" w:color="FFFFFF" w:themeColor="background1"/>
              <w:right w:val="single" w:sz="6" w:space="0" w:color="FFFFFF" w:themeColor="background1"/>
            </w:tcBorders>
          </w:tcPr>
          <w:p w14:paraId="4CAEF214"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Reducir la deserción</w:t>
            </w:r>
          </w:p>
        </w:tc>
        <w:tc>
          <w:tcPr>
            <w:tcW w:w="1701" w:type="dxa"/>
            <w:tcBorders>
              <w:left w:val="single" w:sz="6" w:space="0" w:color="FFFFFF" w:themeColor="background1"/>
              <w:bottom w:val="single" w:sz="4" w:space="0" w:color="FFFFFF" w:themeColor="background1"/>
              <w:right w:val="single" w:sz="6" w:space="0" w:color="FFFFFF" w:themeColor="background1"/>
            </w:tcBorders>
          </w:tcPr>
          <w:p w14:paraId="6E89C25A"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Educación</w:t>
            </w:r>
          </w:p>
        </w:tc>
        <w:tc>
          <w:tcPr>
            <w:tcW w:w="3845" w:type="dxa"/>
            <w:tcBorders>
              <w:left w:val="single" w:sz="6" w:space="0" w:color="FFFFFF" w:themeColor="background1"/>
              <w:bottom w:val="single" w:sz="4" w:space="0" w:color="FFFFFF" w:themeColor="background1"/>
              <w:right w:val="single" w:sz="6" w:space="0" w:color="FFFFFF" w:themeColor="background1"/>
            </w:tcBorders>
          </w:tcPr>
          <w:p w14:paraId="35F1F5C6"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Adaptarse a los ritmos y formas de aprendizaje con el fin de responder a las múltiples expectativas.</w:t>
            </w:r>
          </w:p>
        </w:tc>
        <w:tc>
          <w:tcPr>
            <w:tcW w:w="1117" w:type="dxa"/>
            <w:tcBorders>
              <w:left w:val="single" w:sz="6" w:space="0" w:color="FFFFFF" w:themeColor="background1"/>
              <w:bottom w:val="single" w:sz="4" w:space="0" w:color="FFFFFF" w:themeColor="background1"/>
              <w:right w:val="single" w:sz="6" w:space="0" w:color="FFFFFF" w:themeColor="background1"/>
            </w:tcBorders>
          </w:tcPr>
          <w:p w14:paraId="1E6E892B"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(Racionero-Plaza &amp; Puig, 2017)</w:t>
            </w:r>
          </w:p>
        </w:tc>
      </w:tr>
      <w:tr w:rsidR="00E65452" w:rsidRPr="00D74E2F" w14:paraId="7BE1E3BA" w14:textId="77777777" w:rsidTr="00626685">
        <w:tc>
          <w:tcPr>
            <w:tcW w:w="709" w:type="dxa"/>
            <w:vMerge w:val="restart"/>
            <w:tcBorders>
              <w:top w:val="single" w:sz="4" w:space="0" w:color="FFFFFF" w:themeColor="background1"/>
              <w:left w:val="single" w:sz="6" w:space="0" w:color="FFFFFF" w:themeColor="background1"/>
              <w:right w:val="single" w:sz="6" w:space="0" w:color="FFFFFF" w:themeColor="background1"/>
            </w:tcBorders>
          </w:tcPr>
          <w:p w14:paraId="02E40B0E"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6B</w:t>
            </w:r>
          </w:p>
        </w:tc>
        <w:tc>
          <w:tcPr>
            <w:tcW w:w="1559" w:type="dxa"/>
            <w:vMerge w:val="restart"/>
            <w:tcBorders>
              <w:top w:val="single" w:sz="4" w:space="0" w:color="FFFFFF" w:themeColor="background1"/>
              <w:left w:val="single" w:sz="6" w:space="0" w:color="FFFFFF" w:themeColor="background1"/>
              <w:right w:val="single" w:sz="6" w:space="0" w:color="FFFFFF" w:themeColor="background1"/>
            </w:tcBorders>
          </w:tcPr>
          <w:p w14:paraId="0188CBF1"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Mapeo de la intervención</w:t>
            </w: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8048456"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 xml:space="preserve">Comunidad de práctica </w:t>
            </w:r>
            <w:proofErr w:type="spellStart"/>
            <w:r w:rsidRPr="00D74E2F">
              <w:rPr>
                <w:rFonts w:eastAsia="Times New Roman" w:cs="Arial"/>
                <w:sz w:val="20"/>
                <w:szCs w:val="20"/>
              </w:rPr>
              <w:t>CoP</w:t>
            </w:r>
            <w:proofErr w:type="spellEnd"/>
            <w:r w:rsidRPr="00D74E2F">
              <w:rPr>
                <w:rFonts w:eastAsia="Times New Roman" w:cs="Arial"/>
                <w:sz w:val="20"/>
                <w:szCs w:val="20"/>
              </w:rPr>
              <w:t xml:space="preserve"> multidimensional- Soporte en seguridad social a menores.</w:t>
            </w:r>
          </w:p>
        </w:tc>
        <w:tc>
          <w:tcPr>
            <w:tcW w:w="384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055D963"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 xml:space="preserve">Partir de una línea de base y monitorear el cambio para reportar el avance. </w:t>
            </w:r>
          </w:p>
        </w:tc>
        <w:tc>
          <w:tcPr>
            <w:tcW w:w="1117"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58818541" w14:textId="77777777" w:rsidR="00E65452" w:rsidRPr="00D74E2F" w:rsidRDefault="00E65452" w:rsidP="002019E0">
            <w:pPr>
              <w:spacing w:after="0"/>
              <w:rPr>
                <w:rFonts w:eastAsia="Times New Roman" w:cs="Arial"/>
                <w:color w:val="000000"/>
                <w:sz w:val="20"/>
                <w:szCs w:val="20"/>
              </w:rPr>
            </w:pPr>
            <w:r w:rsidRPr="00D74E2F">
              <w:rPr>
                <w:rFonts w:eastAsia="Times New Roman" w:cs="Arial"/>
                <w:color w:val="000000"/>
                <w:sz w:val="20"/>
                <w:szCs w:val="20"/>
              </w:rPr>
              <w:t>(Golden et al., 2019)</w:t>
            </w:r>
          </w:p>
        </w:tc>
      </w:tr>
      <w:tr w:rsidR="00E65452" w:rsidRPr="00D74E2F" w14:paraId="1F1A3CDE" w14:textId="77777777" w:rsidTr="00626685">
        <w:tc>
          <w:tcPr>
            <w:tcW w:w="709" w:type="dxa"/>
            <w:vMerge/>
            <w:tcBorders>
              <w:left w:val="single" w:sz="6" w:space="0" w:color="FFFFFF" w:themeColor="background1"/>
              <w:bottom w:val="single" w:sz="4" w:space="0" w:color="FFFFFF" w:themeColor="background1"/>
              <w:right w:val="single" w:sz="6" w:space="0" w:color="FFFFFF" w:themeColor="background1"/>
            </w:tcBorders>
          </w:tcPr>
          <w:p w14:paraId="23EA63F6" w14:textId="77777777" w:rsidR="00E65452" w:rsidRPr="00D74E2F" w:rsidRDefault="00E65452" w:rsidP="002019E0">
            <w:pPr>
              <w:widowControl w:val="0"/>
              <w:pBdr>
                <w:top w:val="nil"/>
                <w:left w:val="nil"/>
                <w:bottom w:val="nil"/>
                <w:right w:val="nil"/>
                <w:between w:val="nil"/>
              </w:pBdr>
              <w:spacing w:after="0"/>
              <w:rPr>
                <w:rFonts w:eastAsia="Times New Roman" w:cs="Arial"/>
                <w:color w:val="000000"/>
                <w:sz w:val="20"/>
                <w:szCs w:val="20"/>
              </w:rPr>
            </w:pPr>
          </w:p>
        </w:tc>
        <w:tc>
          <w:tcPr>
            <w:tcW w:w="1559" w:type="dxa"/>
            <w:vMerge/>
            <w:tcBorders>
              <w:left w:val="single" w:sz="6" w:space="0" w:color="FFFFFF" w:themeColor="background1"/>
              <w:bottom w:val="single" w:sz="4" w:space="0" w:color="FFFFFF" w:themeColor="background1"/>
              <w:right w:val="single" w:sz="6" w:space="0" w:color="FFFFFF" w:themeColor="background1"/>
            </w:tcBorders>
          </w:tcPr>
          <w:p w14:paraId="7209A4EA" w14:textId="77777777" w:rsidR="00E65452" w:rsidRPr="00D74E2F" w:rsidRDefault="00E65452" w:rsidP="002019E0">
            <w:pPr>
              <w:widowControl w:val="0"/>
              <w:pBdr>
                <w:top w:val="nil"/>
                <w:left w:val="nil"/>
                <w:bottom w:val="nil"/>
                <w:right w:val="nil"/>
                <w:between w:val="nil"/>
              </w:pBdr>
              <w:spacing w:after="0"/>
              <w:rPr>
                <w:rFonts w:eastAsia="Times New Roman" w:cs="Arial"/>
                <w:color w:val="000000"/>
                <w:sz w:val="20"/>
                <w:szCs w:val="20"/>
              </w:rPr>
            </w:pP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70888F6"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Aprendizaje autónomo de lenguas.</w:t>
            </w:r>
          </w:p>
        </w:tc>
        <w:tc>
          <w:tcPr>
            <w:tcW w:w="384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D7B2B32"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 xml:space="preserve">Mapear el conocimiento permite el desarrollo de prácticas transferibles a otros sectores. </w:t>
            </w:r>
          </w:p>
        </w:tc>
        <w:tc>
          <w:tcPr>
            <w:tcW w:w="1117"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934F150" w14:textId="77777777" w:rsidR="00E65452" w:rsidRPr="00D74E2F" w:rsidRDefault="00E65452" w:rsidP="002019E0">
            <w:pPr>
              <w:spacing w:after="0"/>
              <w:rPr>
                <w:rFonts w:eastAsia="Times New Roman" w:cs="Arial"/>
                <w:color w:val="000000"/>
                <w:sz w:val="20"/>
                <w:szCs w:val="20"/>
              </w:rPr>
            </w:pPr>
            <w:r w:rsidRPr="00D74E2F">
              <w:rPr>
                <w:rFonts w:eastAsia="Times New Roman" w:cs="Arial"/>
                <w:color w:val="000000"/>
                <w:sz w:val="20"/>
                <w:szCs w:val="20"/>
              </w:rPr>
              <w:t>(</w:t>
            </w:r>
            <w:proofErr w:type="spellStart"/>
            <w:r w:rsidRPr="00D74E2F">
              <w:rPr>
                <w:rFonts w:eastAsia="Times New Roman" w:cs="Arial"/>
                <w:color w:val="000000"/>
                <w:sz w:val="20"/>
                <w:szCs w:val="20"/>
              </w:rPr>
              <w:t>Sigala</w:t>
            </w:r>
            <w:proofErr w:type="spellEnd"/>
            <w:r w:rsidRPr="00D74E2F">
              <w:rPr>
                <w:rFonts w:eastAsia="Times New Roman" w:cs="Arial"/>
                <w:color w:val="000000"/>
                <w:sz w:val="20"/>
                <w:szCs w:val="20"/>
              </w:rPr>
              <w:t xml:space="preserve"> et al., 2019)</w:t>
            </w:r>
          </w:p>
        </w:tc>
      </w:tr>
      <w:tr w:rsidR="00E65452" w:rsidRPr="00D74E2F" w14:paraId="245A6956" w14:textId="77777777" w:rsidTr="00626685">
        <w:tc>
          <w:tcPr>
            <w:tcW w:w="70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C9DC9F8"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lastRenderedPageBreak/>
              <w:t>6C</w:t>
            </w:r>
          </w:p>
        </w:tc>
        <w:tc>
          <w:tcPr>
            <w:tcW w:w="155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5C5A0735"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Ciclos iterativos</w:t>
            </w: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4D36D79"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Informática médica y la investigación en servicios de salud.</w:t>
            </w:r>
          </w:p>
        </w:tc>
        <w:tc>
          <w:tcPr>
            <w:tcW w:w="384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3E1B800B"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 xml:space="preserve">Se pueden plantear rutas y fases que incrementan la complejidad, pero mantienen el énfasis en la reflexión. </w:t>
            </w:r>
          </w:p>
        </w:tc>
        <w:tc>
          <w:tcPr>
            <w:tcW w:w="1117"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00BEB9B" w14:textId="77777777" w:rsidR="00E65452" w:rsidRPr="00D74E2F" w:rsidRDefault="00E65452" w:rsidP="002019E0">
            <w:pPr>
              <w:spacing w:after="0"/>
              <w:rPr>
                <w:rFonts w:eastAsia="Times New Roman" w:cs="Arial"/>
                <w:color w:val="000000"/>
                <w:sz w:val="20"/>
                <w:szCs w:val="20"/>
              </w:rPr>
            </w:pPr>
            <w:r w:rsidRPr="00D74E2F">
              <w:rPr>
                <w:rFonts w:eastAsia="Times New Roman" w:cs="Arial"/>
                <w:color w:val="000000"/>
                <w:sz w:val="20"/>
                <w:szCs w:val="20"/>
              </w:rPr>
              <w:t>(Austin et al., 2021)</w:t>
            </w:r>
          </w:p>
        </w:tc>
      </w:tr>
      <w:tr w:rsidR="00E65452" w:rsidRPr="00D74E2F" w14:paraId="5556D2B9" w14:textId="77777777" w:rsidTr="00626685">
        <w:tc>
          <w:tcPr>
            <w:tcW w:w="709" w:type="dxa"/>
            <w:vMerge w:val="restart"/>
            <w:tcBorders>
              <w:top w:val="single" w:sz="4" w:space="0" w:color="FFFFFF" w:themeColor="background1"/>
              <w:left w:val="single" w:sz="6" w:space="0" w:color="FFFFFF" w:themeColor="background1"/>
              <w:right w:val="single" w:sz="6" w:space="0" w:color="FFFFFF" w:themeColor="background1"/>
            </w:tcBorders>
          </w:tcPr>
          <w:p w14:paraId="3B87BB6B"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6D</w:t>
            </w:r>
          </w:p>
        </w:tc>
        <w:tc>
          <w:tcPr>
            <w:tcW w:w="1559" w:type="dxa"/>
            <w:vMerge w:val="restart"/>
            <w:tcBorders>
              <w:top w:val="single" w:sz="4" w:space="0" w:color="FFFFFF" w:themeColor="background1"/>
              <w:left w:val="single" w:sz="6" w:space="0" w:color="FFFFFF" w:themeColor="background1"/>
              <w:right w:val="single" w:sz="6" w:space="0" w:color="FFFFFF" w:themeColor="background1"/>
            </w:tcBorders>
          </w:tcPr>
          <w:p w14:paraId="612DD408"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Voluntariado</w:t>
            </w: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362C20C8"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 xml:space="preserve">Sector público para unificar el servicio. </w:t>
            </w:r>
          </w:p>
        </w:tc>
        <w:tc>
          <w:tcPr>
            <w:tcW w:w="384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55F26562"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El aprendizaje se convierte en la mayor motivación y por eso su participación se considera un acto de beneficio comunitario.</w:t>
            </w:r>
          </w:p>
        </w:tc>
        <w:tc>
          <w:tcPr>
            <w:tcW w:w="1117"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F283A71" w14:textId="77777777" w:rsidR="00E65452" w:rsidRPr="00D74E2F" w:rsidRDefault="00E65452" w:rsidP="002019E0">
            <w:pPr>
              <w:spacing w:after="0"/>
              <w:rPr>
                <w:rFonts w:eastAsia="Times New Roman" w:cs="Arial"/>
                <w:color w:val="000000"/>
                <w:sz w:val="20"/>
                <w:szCs w:val="20"/>
              </w:rPr>
            </w:pPr>
            <w:r w:rsidRPr="00D74E2F">
              <w:rPr>
                <w:rFonts w:eastAsia="Times New Roman" w:cs="Arial"/>
                <w:sz w:val="20"/>
                <w:szCs w:val="20"/>
              </w:rPr>
              <w:t>(</w:t>
            </w:r>
            <w:proofErr w:type="spellStart"/>
            <w:r w:rsidRPr="00D74E2F">
              <w:rPr>
                <w:rFonts w:eastAsia="Times New Roman" w:cs="Arial"/>
                <w:sz w:val="20"/>
                <w:szCs w:val="20"/>
              </w:rPr>
              <w:t>Mosala</w:t>
            </w:r>
            <w:proofErr w:type="spellEnd"/>
            <w:r w:rsidRPr="00D74E2F">
              <w:rPr>
                <w:rFonts w:eastAsia="Times New Roman" w:cs="Arial"/>
                <w:sz w:val="20"/>
                <w:szCs w:val="20"/>
              </w:rPr>
              <w:t xml:space="preserve">-Bryant &amp; </w:t>
            </w:r>
            <w:proofErr w:type="spellStart"/>
            <w:r w:rsidRPr="00D74E2F">
              <w:rPr>
                <w:rFonts w:eastAsia="Times New Roman" w:cs="Arial"/>
                <w:sz w:val="20"/>
                <w:szCs w:val="20"/>
              </w:rPr>
              <w:t>Hoskins</w:t>
            </w:r>
            <w:proofErr w:type="spellEnd"/>
            <w:r w:rsidRPr="00D74E2F">
              <w:rPr>
                <w:rFonts w:eastAsia="Times New Roman" w:cs="Arial"/>
                <w:sz w:val="20"/>
                <w:szCs w:val="20"/>
              </w:rPr>
              <w:t>, 2017)</w:t>
            </w:r>
          </w:p>
        </w:tc>
      </w:tr>
      <w:tr w:rsidR="00E65452" w:rsidRPr="00D74E2F" w14:paraId="13C5D7AE" w14:textId="77777777" w:rsidTr="00626685">
        <w:tc>
          <w:tcPr>
            <w:tcW w:w="709" w:type="dxa"/>
            <w:vMerge/>
            <w:tcBorders>
              <w:left w:val="single" w:sz="6" w:space="0" w:color="FFFFFF" w:themeColor="background1"/>
              <w:right w:val="single" w:sz="6" w:space="0" w:color="FFFFFF" w:themeColor="background1"/>
            </w:tcBorders>
          </w:tcPr>
          <w:p w14:paraId="7EDEDC98" w14:textId="77777777" w:rsidR="00E65452" w:rsidRPr="00D74E2F" w:rsidRDefault="00E65452" w:rsidP="002019E0">
            <w:pPr>
              <w:widowControl w:val="0"/>
              <w:pBdr>
                <w:top w:val="nil"/>
                <w:left w:val="nil"/>
                <w:bottom w:val="nil"/>
                <w:right w:val="nil"/>
                <w:between w:val="nil"/>
              </w:pBdr>
              <w:spacing w:after="0"/>
              <w:rPr>
                <w:rFonts w:eastAsia="Times New Roman" w:cs="Arial"/>
                <w:color w:val="000000"/>
                <w:sz w:val="20"/>
                <w:szCs w:val="20"/>
              </w:rPr>
            </w:pPr>
          </w:p>
        </w:tc>
        <w:tc>
          <w:tcPr>
            <w:tcW w:w="1559" w:type="dxa"/>
            <w:vMerge/>
            <w:tcBorders>
              <w:left w:val="single" w:sz="6" w:space="0" w:color="FFFFFF" w:themeColor="background1"/>
              <w:right w:val="single" w:sz="6" w:space="0" w:color="FFFFFF" w:themeColor="background1"/>
            </w:tcBorders>
          </w:tcPr>
          <w:p w14:paraId="46C1A7CF" w14:textId="77777777" w:rsidR="00E65452" w:rsidRPr="00D74E2F" w:rsidRDefault="00E65452" w:rsidP="002019E0">
            <w:pPr>
              <w:widowControl w:val="0"/>
              <w:pBdr>
                <w:top w:val="nil"/>
                <w:left w:val="nil"/>
                <w:bottom w:val="nil"/>
                <w:right w:val="nil"/>
                <w:between w:val="nil"/>
              </w:pBdr>
              <w:spacing w:after="0"/>
              <w:rPr>
                <w:rFonts w:eastAsia="Times New Roman" w:cs="Arial"/>
                <w:color w:val="000000"/>
                <w:sz w:val="20"/>
                <w:szCs w:val="20"/>
              </w:rPr>
            </w:pPr>
          </w:p>
        </w:tc>
        <w:tc>
          <w:tcPr>
            <w:tcW w:w="1701" w:type="dxa"/>
            <w:tcBorders>
              <w:top w:val="single" w:sz="4" w:space="0" w:color="FFFFFF" w:themeColor="background1"/>
              <w:left w:val="single" w:sz="6" w:space="0" w:color="FFFFFF" w:themeColor="background1"/>
              <w:right w:val="single" w:sz="6" w:space="0" w:color="FFFFFF" w:themeColor="background1"/>
            </w:tcBorders>
          </w:tcPr>
          <w:p w14:paraId="0E4F7BF5"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 xml:space="preserve">Acción comunitaria por las familias. </w:t>
            </w:r>
          </w:p>
        </w:tc>
        <w:tc>
          <w:tcPr>
            <w:tcW w:w="3845" w:type="dxa"/>
            <w:tcBorders>
              <w:top w:val="single" w:sz="4" w:space="0" w:color="FFFFFF" w:themeColor="background1"/>
              <w:left w:val="single" w:sz="6" w:space="0" w:color="FFFFFF" w:themeColor="background1"/>
              <w:right w:val="single" w:sz="6" w:space="0" w:color="FFFFFF" w:themeColor="background1"/>
            </w:tcBorders>
          </w:tcPr>
          <w:p w14:paraId="1A530B9F" w14:textId="77777777" w:rsidR="00E65452" w:rsidRPr="00D74E2F" w:rsidRDefault="00E65452" w:rsidP="002019E0">
            <w:pPr>
              <w:spacing w:after="0"/>
              <w:rPr>
                <w:rFonts w:eastAsia="Times New Roman" w:cs="Arial"/>
                <w:sz w:val="20"/>
                <w:szCs w:val="20"/>
              </w:rPr>
            </w:pPr>
            <w:r w:rsidRPr="00D74E2F">
              <w:rPr>
                <w:rFonts w:eastAsia="Times New Roman" w:cs="Arial"/>
                <w:sz w:val="20"/>
                <w:szCs w:val="20"/>
              </w:rPr>
              <w:t xml:space="preserve">Colocar al servicio las habilidades para fomentar la justicia social y el empoderamiento. </w:t>
            </w:r>
          </w:p>
        </w:tc>
        <w:tc>
          <w:tcPr>
            <w:tcW w:w="1117" w:type="dxa"/>
            <w:tcBorders>
              <w:top w:val="single" w:sz="4" w:space="0" w:color="FFFFFF" w:themeColor="background1"/>
              <w:left w:val="single" w:sz="6" w:space="0" w:color="FFFFFF" w:themeColor="background1"/>
              <w:right w:val="single" w:sz="6" w:space="0" w:color="FFFFFF" w:themeColor="background1"/>
            </w:tcBorders>
          </w:tcPr>
          <w:p w14:paraId="7EF18D47" w14:textId="77777777" w:rsidR="00E65452" w:rsidRPr="00D74E2F" w:rsidRDefault="00E65452" w:rsidP="002019E0">
            <w:pPr>
              <w:spacing w:after="0"/>
              <w:rPr>
                <w:rFonts w:eastAsia="Times New Roman" w:cs="Arial"/>
                <w:color w:val="000000"/>
                <w:sz w:val="20"/>
                <w:szCs w:val="20"/>
              </w:rPr>
            </w:pPr>
            <w:r w:rsidRPr="00D74E2F">
              <w:rPr>
                <w:rFonts w:eastAsia="Times New Roman" w:cs="Arial"/>
                <w:sz w:val="20"/>
                <w:szCs w:val="20"/>
              </w:rPr>
              <w:t>(</w:t>
            </w:r>
            <w:proofErr w:type="spellStart"/>
            <w:r w:rsidRPr="00D74E2F">
              <w:rPr>
                <w:rFonts w:eastAsia="Times New Roman" w:cs="Arial"/>
                <w:sz w:val="20"/>
                <w:szCs w:val="20"/>
              </w:rPr>
              <w:t>Mailloux</w:t>
            </w:r>
            <w:proofErr w:type="spellEnd"/>
            <w:r w:rsidRPr="00D74E2F">
              <w:rPr>
                <w:rFonts w:eastAsia="Times New Roman" w:cs="Arial"/>
                <w:sz w:val="20"/>
                <w:szCs w:val="20"/>
              </w:rPr>
              <w:t xml:space="preserve"> &amp; </w:t>
            </w:r>
            <w:proofErr w:type="spellStart"/>
            <w:r w:rsidRPr="00D74E2F">
              <w:rPr>
                <w:rFonts w:eastAsia="Times New Roman" w:cs="Arial"/>
                <w:sz w:val="20"/>
                <w:szCs w:val="20"/>
              </w:rPr>
              <w:t>Lacharité</w:t>
            </w:r>
            <w:proofErr w:type="spellEnd"/>
            <w:r w:rsidRPr="00D74E2F">
              <w:rPr>
                <w:rFonts w:eastAsia="Times New Roman" w:cs="Arial"/>
                <w:sz w:val="20"/>
                <w:szCs w:val="20"/>
              </w:rPr>
              <w:t>, 2020)</w:t>
            </w:r>
          </w:p>
        </w:tc>
      </w:tr>
    </w:tbl>
    <w:p w14:paraId="27EFDD7E" w14:textId="77777777" w:rsidR="00E65452" w:rsidRPr="00817254" w:rsidRDefault="00E65452" w:rsidP="00E65452">
      <w:pPr>
        <w:spacing w:after="0" w:line="480" w:lineRule="auto"/>
        <w:rPr>
          <w:rFonts w:ascii="Times New Roman" w:eastAsia="Times New Roman" w:hAnsi="Times New Roman" w:cs="Times New Roman"/>
          <w:b/>
          <w:sz w:val="24"/>
          <w:szCs w:val="24"/>
        </w:rPr>
      </w:pPr>
    </w:p>
    <w:p w14:paraId="3810F5DA" w14:textId="77777777" w:rsidR="00E65452" w:rsidRPr="00817254" w:rsidRDefault="00E65452" w:rsidP="00E65452">
      <w:pPr>
        <w:spacing w:after="0" w:line="480" w:lineRule="auto"/>
        <w:rPr>
          <w:rFonts w:eastAsia="Times New Roman" w:cs="Arial"/>
          <w:b/>
        </w:rPr>
      </w:pPr>
      <w:r w:rsidRPr="00817254">
        <w:rPr>
          <w:rFonts w:eastAsia="Times New Roman" w:cs="Arial"/>
          <w:b/>
        </w:rPr>
        <w:t xml:space="preserve">Verificación de los aspectos organizacionales en las </w:t>
      </w:r>
      <w:proofErr w:type="spellStart"/>
      <w:r w:rsidRPr="00817254">
        <w:rPr>
          <w:rFonts w:eastAsia="Times New Roman" w:cs="Arial"/>
          <w:b/>
        </w:rPr>
        <w:t>CoP</w:t>
      </w:r>
      <w:proofErr w:type="spellEnd"/>
      <w:r w:rsidRPr="00817254">
        <w:rPr>
          <w:rFonts w:eastAsia="Times New Roman" w:cs="Arial"/>
          <w:b/>
        </w:rPr>
        <w:t xml:space="preserve"> reportadas en la literatura.</w:t>
      </w:r>
    </w:p>
    <w:p w14:paraId="7DB4862E" w14:textId="4AB5F48F" w:rsidR="00E65452" w:rsidRPr="00817254" w:rsidRDefault="00E65452" w:rsidP="00B01ED3">
      <w:pPr>
        <w:spacing w:after="0"/>
        <w:rPr>
          <w:rFonts w:eastAsia="Times New Roman" w:cs="Arial"/>
        </w:rPr>
      </w:pPr>
      <w:r w:rsidRPr="00817254">
        <w:rPr>
          <w:rFonts w:eastAsia="Times New Roman" w:cs="Arial"/>
        </w:rPr>
        <w:t>Una vez identificados los elementos y conceptos organizacionales que integran las Comunidades de práctica, se adelantó una consulta general de sus portales, formalizadas y constituidas, reportadas durante el proceso de revisión de literatura, dando a conocer su ámbito de operación.</w:t>
      </w:r>
    </w:p>
    <w:p w14:paraId="4173EFAF" w14:textId="77777777" w:rsidR="00B01ED3" w:rsidRPr="00817254" w:rsidRDefault="00B01ED3" w:rsidP="00B01ED3">
      <w:pPr>
        <w:spacing w:after="0"/>
        <w:rPr>
          <w:rFonts w:eastAsia="Times New Roman" w:cs="Arial"/>
        </w:rPr>
      </w:pPr>
    </w:p>
    <w:p w14:paraId="599820EC" w14:textId="77777777" w:rsidR="00626685" w:rsidRDefault="00E65452" w:rsidP="00B01ED3">
      <w:pPr>
        <w:spacing w:after="0"/>
        <w:rPr>
          <w:rFonts w:eastAsia="Times New Roman" w:cs="Arial"/>
          <w:b/>
          <w:sz w:val="20"/>
        </w:rPr>
      </w:pPr>
      <w:r w:rsidRPr="00817254">
        <w:rPr>
          <w:rFonts w:eastAsia="Times New Roman" w:cs="Arial"/>
          <w:b/>
          <w:sz w:val="20"/>
        </w:rPr>
        <w:t>Tabla 8</w:t>
      </w:r>
      <w:r w:rsidR="00B01ED3" w:rsidRPr="00817254">
        <w:rPr>
          <w:rFonts w:eastAsia="Times New Roman" w:cs="Arial"/>
          <w:b/>
          <w:sz w:val="20"/>
        </w:rPr>
        <w:t xml:space="preserve">. </w:t>
      </w:r>
    </w:p>
    <w:p w14:paraId="524B3290" w14:textId="314906D7" w:rsidR="00B01ED3" w:rsidRPr="00817254" w:rsidRDefault="00E65452" w:rsidP="00B01ED3">
      <w:pPr>
        <w:spacing w:after="0"/>
        <w:rPr>
          <w:rFonts w:eastAsia="Times New Roman" w:cs="Arial"/>
          <w:sz w:val="20"/>
        </w:rPr>
      </w:pPr>
      <w:r w:rsidRPr="00817254">
        <w:rPr>
          <w:rFonts w:eastAsia="Times New Roman" w:cs="Arial"/>
          <w:sz w:val="20"/>
        </w:rPr>
        <w:t xml:space="preserve">Generalidades de lineamientos Organizacionales de las </w:t>
      </w:r>
      <w:proofErr w:type="spellStart"/>
      <w:r w:rsidRPr="00817254">
        <w:rPr>
          <w:rFonts w:eastAsia="Times New Roman" w:cs="Arial"/>
          <w:sz w:val="20"/>
        </w:rPr>
        <w:t>CoP</w:t>
      </w:r>
      <w:proofErr w:type="spellEnd"/>
      <w:r w:rsidRPr="00817254">
        <w:rPr>
          <w:rFonts w:eastAsia="Times New Roman" w:cs="Arial"/>
          <w:sz w:val="20"/>
        </w:rPr>
        <w:t xml:space="preserve"> con </w:t>
      </w:r>
      <w:r w:rsidRPr="00817254">
        <w:rPr>
          <w:rFonts w:eastAsia="Times New Roman" w:cs="Arial"/>
          <w:color w:val="353536"/>
          <w:sz w:val="20"/>
        </w:rPr>
        <w:t>ambientes virtuales estructurados r</w:t>
      </w:r>
      <w:r w:rsidRPr="00817254">
        <w:rPr>
          <w:rFonts w:eastAsia="Times New Roman" w:cs="Arial"/>
          <w:sz w:val="20"/>
        </w:rPr>
        <w:t>eport</w:t>
      </w:r>
      <w:r w:rsidR="002019E0" w:rsidRPr="00817254">
        <w:rPr>
          <w:rFonts w:eastAsia="Times New Roman" w:cs="Arial"/>
          <w:sz w:val="20"/>
        </w:rPr>
        <w:t>ados en la literatura</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1869"/>
        <w:gridCol w:w="708"/>
        <w:gridCol w:w="5783"/>
      </w:tblGrid>
      <w:tr w:rsidR="00E65452" w:rsidRPr="00817254" w14:paraId="6FE81EDE" w14:textId="77777777" w:rsidTr="002019E0">
        <w:trPr>
          <w:trHeight w:val="401"/>
        </w:trPr>
        <w:tc>
          <w:tcPr>
            <w:tcW w:w="820" w:type="dxa"/>
            <w:tcBorders>
              <w:left w:val="single" w:sz="6" w:space="0" w:color="FFFFFF" w:themeColor="background1"/>
              <w:right w:val="single" w:sz="6" w:space="0" w:color="FFFFFF" w:themeColor="background1"/>
            </w:tcBorders>
            <w:vAlign w:val="center"/>
          </w:tcPr>
          <w:p w14:paraId="3F6E822F" w14:textId="77777777" w:rsidR="00E65452" w:rsidRPr="00817254" w:rsidRDefault="00E65452" w:rsidP="002019E0">
            <w:pPr>
              <w:spacing w:after="0"/>
              <w:jc w:val="center"/>
              <w:rPr>
                <w:rFonts w:eastAsia="Times New Roman" w:cs="Arial"/>
                <w:b/>
                <w:sz w:val="20"/>
                <w:szCs w:val="20"/>
              </w:rPr>
            </w:pPr>
            <w:r w:rsidRPr="00817254">
              <w:rPr>
                <w:rFonts w:eastAsia="Times New Roman" w:cs="Arial"/>
                <w:b/>
                <w:sz w:val="20"/>
                <w:szCs w:val="20"/>
              </w:rPr>
              <w:t>Nro.</w:t>
            </w:r>
          </w:p>
          <w:p w14:paraId="0D8509C9" w14:textId="77777777" w:rsidR="00E65452" w:rsidRPr="00817254" w:rsidRDefault="00E65452" w:rsidP="002019E0">
            <w:pPr>
              <w:spacing w:after="0"/>
              <w:jc w:val="center"/>
              <w:rPr>
                <w:rFonts w:eastAsia="Times New Roman" w:cs="Arial"/>
                <w:b/>
                <w:sz w:val="20"/>
                <w:szCs w:val="20"/>
              </w:rPr>
            </w:pPr>
          </w:p>
        </w:tc>
        <w:tc>
          <w:tcPr>
            <w:tcW w:w="1869" w:type="dxa"/>
            <w:tcBorders>
              <w:left w:val="single" w:sz="6" w:space="0" w:color="FFFFFF" w:themeColor="background1"/>
              <w:right w:val="single" w:sz="6" w:space="0" w:color="FFFFFF" w:themeColor="background1"/>
            </w:tcBorders>
            <w:vAlign w:val="center"/>
          </w:tcPr>
          <w:p w14:paraId="43D52D26" w14:textId="77777777" w:rsidR="00E65452" w:rsidRPr="00817254" w:rsidRDefault="00E65452" w:rsidP="002019E0">
            <w:pPr>
              <w:spacing w:after="0"/>
              <w:jc w:val="center"/>
              <w:rPr>
                <w:rFonts w:eastAsia="Times New Roman" w:cs="Arial"/>
                <w:b/>
                <w:sz w:val="20"/>
                <w:szCs w:val="20"/>
              </w:rPr>
            </w:pPr>
            <w:proofErr w:type="spellStart"/>
            <w:r w:rsidRPr="00817254">
              <w:rPr>
                <w:rFonts w:eastAsia="Times New Roman" w:cs="Arial"/>
                <w:b/>
                <w:sz w:val="20"/>
                <w:szCs w:val="20"/>
              </w:rPr>
              <w:t>CoP</w:t>
            </w:r>
            <w:proofErr w:type="spellEnd"/>
            <w:r w:rsidRPr="00817254">
              <w:rPr>
                <w:rFonts w:eastAsia="Times New Roman" w:cs="Arial"/>
                <w:b/>
                <w:sz w:val="20"/>
                <w:szCs w:val="20"/>
              </w:rPr>
              <w:t>/ país y dominio</w:t>
            </w:r>
          </w:p>
        </w:tc>
        <w:tc>
          <w:tcPr>
            <w:tcW w:w="708" w:type="dxa"/>
            <w:tcBorders>
              <w:left w:val="single" w:sz="6" w:space="0" w:color="FFFFFF" w:themeColor="background1"/>
              <w:right w:val="single" w:sz="6" w:space="0" w:color="FFFFFF" w:themeColor="background1"/>
            </w:tcBorders>
            <w:vAlign w:val="center"/>
          </w:tcPr>
          <w:p w14:paraId="6431EF6E" w14:textId="77777777" w:rsidR="00E65452" w:rsidRPr="00817254" w:rsidRDefault="00E65452" w:rsidP="002019E0">
            <w:pPr>
              <w:spacing w:after="0"/>
              <w:rPr>
                <w:rFonts w:eastAsia="Times New Roman" w:cs="Arial"/>
                <w:b/>
                <w:sz w:val="20"/>
                <w:szCs w:val="20"/>
              </w:rPr>
            </w:pPr>
            <w:proofErr w:type="spellStart"/>
            <w:r w:rsidRPr="00817254">
              <w:rPr>
                <w:rFonts w:eastAsia="Times New Roman" w:cs="Arial"/>
                <w:b/>
                <w:sz w:val="20"/>
                <w:szCs w:val="20"/>
              </w:rPr>
              <w:t>Item</w:t>
            </w:r>
            <w:proofErr w:type="spellEnd"/>
            <w:r w:rsidRPr="00817254">
              <w:rPr>
                <w:rFonts w:eastAsia="Times New Roman" w:cs="Arial"/>
                <w:b/>
                <w:sz w:val="20"/>
                <w:szCs w:val="20"/>
              </w:rPr>
              <w:t xml:space="preserve"> </w:t>
            </w:r>
          </w:p>
        </w:tc>
        <w:tc>
          <w:tcPr>
            <w:tcW w:w="5783" w:type="dxa"/>
            <w:tcBorders>
              <w:left w:val="single" w:sz="6" w:space="0" w:color="FFFFFF" w:themeColor="background1"/>
              <w:right w:val="single" w:sz="6" w:space="0" w:color="FFFFFF" w:themeColor="background1"/>
            </w:tcBorders>
          </w:tcPr>
          <w:p w14:paraId="6ABB4CFD" w14:textId="77777777" w:rsidR="00E65452" w:rsidRPr="00817254" w:rsidRDefault="00E65452" w:rsidP="002019E0">
            <w:pPr>
              <w:spacing w:after="0"/>
              <w:rPr>
                <w:rFonts w:eastAsia="Times New Roman" w:cs="Arial"/>
                <w:b/>
                <w:sz w:val="20"/>
                <w:szCs w:val="20"/>
              </w:rPr>
            </w:pPr>
            <w:r w:rsidRPr="00817254">
              <w:rPr>
                <w:rFonts w:eastAsia="Times New Roman" w:cs="Arial"/>
                <w:b/>
                <w:sz w:val="20"/>
                <w:szCs w:val="20"/>
              </w:rPr>
              <w:t xml:space="preserve">                                       Generalidades</w:t>
            </w:r>
          </w:p>
          <w:p w14:paraId="50B3B805" w14:textId="77777777" w:rsidR="00E65452" w:rsidRPr="00817254" w:rsidRDefault="00E65452" w:rsidP="002019E0">
            <w:pPr>
              <w:spacing w:after="0"/>
              <w:rPr>
                <w:rFonts w:eastAsia="Times New Roman" w:cs="Arial"/>
                <w:b/>
                <w:sz w:val="20"/>
                <w:szCs w:val="20"/>
              </w:rPr>
            </w:pPr>
            <w:r w:rsidRPr="00817254">
              <w:rPr>
                <w:rFonts w:eastAsia="Times New Roman" w:cs="Arial"/>
                <w:b/>
                <w:sz w:val="20"/>
                <w:szCs w:val="20"/>
              </w:rPr>
              <w:t xml:space="preserve">                            1. Visión sistémica y holística</w:t>
            </w:r>
          </w:p>
          <w:p w14:paraId="19A7818B" w14:textId="77777777" w:rsidR="00E65452" w:rsidRPr="00817254" w:rsidRDefault="00E65452" w:rsidP="002019E0">
            <w:pPr>
              <w:spacing w:after="0"/>
              <w:rPr>
                <w:rFonts w:eastAsia="Times New Roman" w:cs="Arial"/>
                <w:b/>
                <w:sz w:val="20"/>
                <w:szCs w:val="20"/>
              </w:rPr>
            </w:pPr>
            <w:r w:rsidRPr="00817254">
              <w:rPr>
                <w:rFonts w:eastAsia="Times New Roman" w:cs="Arial"/>
                <w:b/>
                <w:sz w:val="20"/>
                <w:szCs w:val="20"/>
              </w:rPr>
              <w:t xml:space="preserve">                            2. Estrategias de gobernanza</w:t>
            </w:r>
          </w:p>
          <w:p w14:paraId="4A217049" w14:textId="77777777" w:rsidR="00E65452" w:rsidRPr="00817254" w:rsidRDefault="00E65452" w:rsidP="002019E0">
            <w:pPr>
              <w:spacing w:after="0"/>
              <w:rPr>
                <w:rFonts w:eastAsia="Times New Roman" w:cs="Arial"/>
                <w:b/>
                <w:sz w:val="20"/>
                <w:szCs w:val="20"/>
              </w:rPr>
            </w:pPr>
            <w:r w:rsidRPr="00817254">
              <w:rPr>
                <w:rFonts w:eastAsia="Times New Roman" w:cs="Arial"/>
                <w:b/>
                <w:sz w:val="20"/>
                <w:szCs w:val="20"/>
              </w:rPr>
              <w:t xml:space="preserve">                            3. Estructura Organizacional</w:t>
            </w:r>
          </w:p>
          <w:p w14:paraId="7FDD8299" w14:textId="77777777" w:rsidR="00E65452" w:rsidRPr="00817254" w:rsidRDefault="00E65452" w:rsidP="002019E0">
            <w:pPr>
              <w:spacing w:after="0"/>
              <w:rPr>
                <w:rFonts w:eastAsia="Times New Roman" w:cs="Arial"/>
                <w:b/>
                <w:sz w:val="20"/>
                <w:szCs w:val="20"/>
              </w:rPr>
            </w:pPr>
            <w:r w:rsidRPr="00817254">
              <w:rPr>
                <w:rFonts w:eastAsia="Times New Roman" w:cs="Arial"/>
                <w:b/>
                <w:sz w:val="20"/>
                <w:szCs w:val="20"/>
              </w:rPr>
              <w:t xml:space="preserve">                            4. Comunicación y participación</w:t>
            </w:r>
          </w:p>
        </w:tc>
      </w:tr>
      <w:tr w:rsidR="00E65452" w:rsidRPr="00817254" w14:paraId="63E75C2A" w14:textId="77777777" w:rsidTr="00004539">
        <w:trPr>
          <w:trHeight w:val="355"/>
        </w:trPr>
        <w:tc>
          <w:tcPr>
            <w:tcW w:w="820" w:type="dxa"/>
            <w:vMerge w:val="restart"/>
            <w:tcBorders>
              <w:left w:val="single" w:sz="6" w:space="0" w:color="FFFFFF" w:themeColor="background1"/>
              <w:right w:val="single" w:sz="6" w:space="0" w:color="FFFFFF" w:themeColor="background1"/>
            </w:tcBorders>
            <w:vAlign w:val="center"/>
          </w:tcPr>
          <w:p w14:paraId="36F50B15" w14:textId="77777777" w:rsidR="00E65452" w:rsidRPr="00817254" w:rsidRDefault="00E65452" w:rsidP="002019E0">
            <w:pPr>
              <w:rPr>
                <w:rFonts w:eastAsia="Times New Roman" w:cs="Arial"/>
                <w:color w:val="000000"/>
                <w:sz w:val="20"/>
                <w:szCs w:val="20"/>
                <w:highlight w:val="white"/>
              </w:rPr>
            </w:pPr>
            <w:r w:rsidRPr="00817254">
              <w:rPr>
                <w:rFonts w:eastAsia="Times New Roman" w:cs="Arial"/>
                <w:color w:val="000000"/>
                <w:sz w:val="20"/>
                <w:szCs w:val="20"/>
                <w:highlight w:val="white"/>
              </w:rPr>
              <w:t>7A</w:t>
            </w:r>
          </w:p>
        </w:tc>
        <w:tc>
          <w:tcPr>
            <w:tcW w:w="1869" w:type="dxa"/>
            <w:vMerge w:val="restart"/>
            <w:tcBorders>
              <w:left w:val="single" w:sz="6" w:space="0" w:color="FFFFFF" w:themeColor="background1"/>
              <w:right w:val="single" w:sz="6" w:space="0" w:color="FFFFFF" w:themeColor="background1"/>
            </w:tcBorders>
            <w:vAlign w:val="center"/>
          </w:tcPr>
          <w:p w14:paraId="71B6F5C6" w14:textId="77777777" w:rsidR="00E65452" w:rsidRPr="00817254" w:rsidRDefault="00E65452" w:rsidP="002019E0">
            <w:pPr>
              <w:jc w:val="center"/>
              <w:rPr>
                <w:rFonts w:eastAsia="Times New Roman" w:cs="Arial"/>
                <w:sz w:val="20"/>
                <w:szCs w:val="20"/>
              </w:rPr>
            </w:pPr>
            <w:r w:rsidRPr="00817254">
              <w:rPr>
                <w:rFonts w:eastAsia="Times New Roman" w:cs="Arial"/>
                <w:color w:val="000000"/>
                <w:sz w:val="20"/>
                <w:szCs w:val="20"/>
                <w:highlight w:val="white"/>
              </w:rPr>
              <w:t>REUNI+D</w:t>
            </w:r>
            <w:r w:rsidRPr="00817254">
              <w:rPr>
                <w:rFonts w:eastAsia="Times New Roman" w:cs="Arial"/>
                <w:sz w:val="20"/>
                <w:szCs w:val="20"/>
              </w:rPr>
              <w:t xml:space="preserve"> España / grupos de investigación educativa</w:t>
            </w:r>
            <w:r w:rsidRPr="00817254">
              <w:rPr>
                <w:rFonts w:eastAsia="Times New Roman" w:cs="Arial"/>
                <w:color w:val="000000"/>
                <w:sz w:val="20"/>
                <w:szCs w:val="20"/>
                <w:highlight w:val="white"/>
              </w:rPr>
              <w:t xml:space="preserve"> </w:t>
            </w:r>
          </w:p>
        </w:tc>
        <w:tc>
          <w:tcPr>
            <w:tcW w:w="708" w:type="dxa"/>
            <w:tcBorders>
              <w:left w:val="single" w:sz="6" w:space="0" w:color="FFFFFF" w:themeColor="background1"/>
              <w:bottom w:val="single" w:sz="4" w:space="0" w:color="FFFFFF" w:themeColor="background1"/>
              <w:right w:val="single" w:sz="6" w:space="0" w:color="FFFFFF" w:themeColor="background1"/>
            </w:tcBorders>
            <w:vAlign w:val="center"/>
          </w:tcPr>
          <w:p w14:paraId="12FFA245"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1</w:t>
            </w:r>
          </w:p>
        </w:tc>
        <w:tc>
          <w:tcPr>
            <w:tcW w:w="5783" w:type="dxa"/>
            <w:tcBorders>
              <w:left w:val="single" w:sz="6" w:space="0" w:color="FFFFFF" w:themeColor="background1"/>
              <w:bottom w:val="single" w:sz="4" w:space="0" w:color="FFFFFF" w:themeColor="background1"/>
              <w:right w:val="single" w:sz="6" w:space="0" w:color="FFFFFF" w:themeColor="background1"/>
            </w:tcBorders>
          </w:tcPr>
          <w:p w14:paraId="7400F5EC" w14:textId="77777777" w:rsidR="00E65452" w:rsidRPr="00817254" w:rsidRDefault="00E65452" w:rsidP="002019E0">
            <w:pPr>
              <w:spacing w:after="0"/>
              <w:rPr>
                <w:rFonts w:eastAsia="Times New Roman" w:cs="Arial"/>
                <w:sz w:val="20"/>
                <w:szCs w:val="20"/>
              </w:rPr>
            </w:pPr>
            <w:r w:rsidRPr="00817254">
              <w:rPr>
                <w:rFonts w:eastAsia="Times New Roman" w:cs="Arial"/>
                <w:sz w:val="20"/>
                <w:szCs w:val="20"/>
              </w:rPr>
              <w:t>Pertenece al Ministerio de economía y competitividad cuenta con 11 grupos de investigación conectados a GITE-USAL</w:t>
            </w:r>
          </w:p>
        </w:tc>
      </w:tr>
      <w:tr w:rsidR="00E65452" w:rsidRPr="00817254" w14:paraId="51E11C64" w14:textId="77777777" w:rsidTr="00004539">
        <w:tc>
          <w:tcPr>
            <w:tcW w:w="820" w:type="dxa"/>
            <w:vMerge/>
            <w:tcBorders>
              <w:left w:val="single" w:sz="6" w:space="0" w:color="FFFFFF" w:themeColor="background1"/>
              <w:right w:val="single" w:sz="6" w:space="0" w:color="FFFFFF" w:themeColor="background1"/>
            </w:tcBorders>
            <w:vAlign w:val="center"/>
          </w:tcPr>
          <w:p w14:paraId="3DC793CB"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vAlign w:val="center"/>
          </w:tcPr>
          <w:p w14:paraId="2C7DB91A"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6E32D290"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2</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2EC4E064" w14:textId="77777777" w:rsidR="00E65452" w:rsidRPr="00817254" w:rsidRDefault="00E65452" w:rsidP="002019E0">
            <w:pPr>
              <w:spacing w:after="0"/>
              <w:rPr>
                <w:rFonts w:eastAsia="Times New Roman" w:cs="Arial"/>
                <w:sz w:val="20"/>
                <w:szCs w:val="20"/>
              </w:rPr>
            </w:pPr>
            <w:r w:rsidRPr="00817254">
              <w:rPr>
                <w:rFonts w:eastAsia="Times New Roman" w:cs="Arial"/>
                <w:sz w:val="20"/>
                <w:szCs w:val="20"/>
              </w:rPr>
              <w:t>Cambios sociales y retos para la era digital, aumentar aprendizaje científico, contribución al conocimiento abierto, participación en eventos internacionales.</w:t>
            </w:r>
          </w:p>
        </w:tc>
      </w:tr>
      <w:tr w:rsidR="00E65452" w:rsidRPr="00817254" w14:paraId="0172C700" w14:textId="77777777" w:rsidTr="00004539">
        <w:trPr>
          <w:trHeight w:val="47"/>
        </w:trPr>
        <w:tc>
          <w:tcPr>
            <w:tcW w:w="820" w:type="dxa"/>
            <w:vMerge/>
            <w:tcBorders>
              <w:left w:val="single" w:sz="6" w:space="0" w:color="FFFFFF" w:themeColor="background1"/>
              <w:bottom w:val="single" w:sz="4" w:space="0" w:color="FFFFFF" w:themeColor="background1"/>
              <w:right w:val="single" w:sz="6" w:space="0" w:color="FFFFFF" w:themeColor="background1"/>
            </w:tcBorders>
            <w:vAlign w:val="center"/>
          </w:tcPr>
          <w:p w14:paraId="440B0DC8"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bottom w:val="single" w:sz="4" w:space="0" w:color="FFFFFF" w:themeColor="background1"/>
              <w:right w:val="single" w:sz="6" w:space="0" w:color="FFFFFF" w:themeColor="background1"/>
            </w:tcBorders>
            <w:vAlign w:val="center"/>
          </w:tcPr>
          <w:p w14:paraId="771C893F"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1CCA1CB1" w14:textId="77777777" w:rsidR="00E65452" w:rsidRPr="00817254" w:rsidRDefault="00E65452" w:rsidP="002019E0">
            <w:pPr>
              <w:spacing w:after="0"/>
              <w:jc w:val="center"/>
              <w:rPr>
                <w:rFonts w:eastAsia="Times New Roman" w:cs="Arial"/>
                <w:sz w:val="20"/>
                <w:szCs w:val="20"/>
              </w:rPr>
            </w:pPr>
            <w:r w:rsidRPr="00817254">
              <w:rPr>
                <w:rFonts w:eastAsia="Times New Roman" w:cs="Arial"/>
                <w:sz w:val="20"/>
                <w:szCs w:val="20"/>
              </w:rPr>
              <w:t>3</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0BB6DDF" w14:textId="77777777" w:rsidR="00E65452" w:rsidRPr="00817254" w:rsidRDefault="00E65452" w:rsidP="002019E0">
            <w:pPr>
              <w:spacing w:after="0"/>
              <w:rPr>
                <w:rFonts w:eastAsia="Times New Roman" w:cs="Arial"/>
                <w:sz w:val="20"/>
                <w:szCs w:val="20"/>
              </w:rPr>
            </w:pPr>
            <w:r w:rsidRPr="00817254">
              <w:rPr>
                <w:rFonts w:eastAsia="Times New Roman" w:cs="Arial"/>
                <w:sz w:val="20"/>
                <w:szCs w:val="20"/>
              </w:rPr>
              <w:t>Grupos de investigación de diferentes universidades</w:t>
            </w:r>
          </w:p>
        </w:tc>
      </w:tr>
      <w:tr w:rsidR="00E65452" w:rsidRPr="00817254" w14:paraId="112E378B" w14:textId="77777777" w:rsidTr="00004539">
        <w:tc>
          <w:tcPr>
            <w:tcW w:w="820" w:type="dxa"/>
            <w:vMerge/>
            <w:tcBorders>
              <w:top w:val="single" w:sz="4" w:space="0" w:color="FFFFFF" w:themeColor="background1"/>
              <w:left w:val="single" w:sz="6" w:space="0" w:color="FFFFFF" w:themeColor="background1"/>
              <w:right w:val="single" w:sz="6" w:space="0" w:color="FFFFFF" w:themeColor="background1"/>
            </w:tcBorders>
            <w:vAlign w:val="center"/>
          </w:tcPr>
          <w:p w14:paraId="2B490D50"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top w:val="single" w:sz="4" w:space="0" w:color="FFFFFF" w:themeColor="background1"/>
              <w:left w:val="single" w:sz="6" w:space="0" w:color="FFFFFF" w:themeColor="background1"/>
              <w:right w:val="single" w:sz="6" w:space="0" w:color="FFFFFF" w:themeColor="background1"/>
            </w:tcBorders>
            <w:vAlign w:val="center"/>
          </w:tcPr>
          <w:p w14:paraId="2C908663"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right w:val="single" w:sz="6" w:space="0" w:color="FFFFFF" w:themeColor="background1"/>
            </w:tcBorders>
            <w:vAlign w:val="center"/>
          </w:tcPr>
          <w:p w14:paraId="3F805E84"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4</w:t>
            </w:r>
          </w:p>
        </w:tc>
        <w:tc>
          <w:tcPr>
            <w:tcW w:w="5783" w:type="dxa"/>
            <w:tcBorders>
              <w:top w:val="single" w:sz="4" w:space="0" w:color="FFFFFF" w:themeColor="background1"/>
              <w:left w:val="single" w:sz="6" w:space="0" w:color="FFFFFF" w:themeColor="background1"/>
              <w:right w:val="single" w:sz="6" w:space="0" w:color="FFFFFF" w:themeColor="background1"/>
            </w:tcBorders>
          </w:tcPr>
          <w:p w14:paraId="3AB6C848" w14:textId="77777777" w:rsidR="00E65452" w:rsidRPr="00817254" w:rsidRDefault="00E65452" w:rsidP="002019E0">
            <w:pPr>
              <w:spacing w:after="0"/>
              <w:rPr>
                <w:rFonts w:eastAsia="Times New Roman" w:cs="Arial"/>
                <w:sz w:val="20"/>
                <w:szCs w:val="20"/>
              </w:rPr>
            </w:pPr>
            <w:r w:rsidRPr="00817254">
              <w:rPr>
                <w:rFonts w:eastAsia="Times New Roman" w:cs="Arial"/>
                <w:sz w:val="20"/>
                <w:szCs w:val="20"/>
              </w:rPr>
              <w:t>Establecimiento de redes y reuniones virtuales dimensionando presentación de proyectos y avances interactuando a nivel internacional</w:t>
            </w:r>
          </w:p>
        </w:tc>
      </w:tr>
      <w:tr w:rsidR="00E65452" w:rsidRPr="00817254" w14:paraId="6571B9FB" w14:textId="77777777" w:rsidTr="00004539">
        <w:trPr>
          <w:trHeight w:val="47"/>
        </w:trPr>
        <w:tc>
          <w:tcPr>
            <w:tcW w:w="820" w:type="dxa"/>
            <w:vMerge w:val="restart"/>
            <w:tcBorders>
              <w:top w:val="single" w:sz="4" w:space="0" w:color="FFFFFF" w:themeColor="background1"/>
              <w:left w:val="single" w:sz="6" w:space="0" w:color="FFFFFF" w:themeColor="background1"/>
              <w:right w:val="single" w:sz="6" w:space="0" w:color="FFFFFF" w:themeColor="background1"/>
            </w:tcBorders>
            <w:vAlign w:val="center"/>
          </w:tcPr>
          <w:p w14:paraId="35158A9E"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t>7B</w:t>
            </w:r>
          </w:p>
        </w:tc>
        <w:tc>
          <w:tcPr>
            <w:tcW w:w="1869" w:type="dxa"/>
            <w:vMerge w:val="restart"/>
            <w:tcBorders>
              <w:top w:val="single" w:sz="4" w:space="0" w:color="FFFFFF" w:themeColor="background1"/>
              <w:left w:val="single" w:sz="6" w:space="0" w:color="FFFFFF" w:themeColor="background1"/>
              <w:right w:val="single" w:sz="6" w:space="0" w:color="FFFFFF" w:themeColor="background1"/>
            </w:tcBorders>
          </w:tcPr>
          <w:p w14:paraId="16738EF1"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t>CDA Comunidades de aprendizaje</w:t>
            </w:r>
          </w:p>
          <w:p w14:paraId="6A3F6839"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España /Universidad de Barcelona</w:t>
            </w: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1D8E4726"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1</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64C3A9E" w14:textId="77777777" w:rsidR="00E65452" w:rsidRPr="00817254" w:rsidRDefault="00E65452" w:rsidP="002019E0">
            <w:pPr>
              <w:spacing w:after="0"/>
              <w:rPr>
                <w:rFonts w:eastAsia="Times New Roman" w:cs="Arial"/>
                <w:sz w:val="20"/>
                <w:szCs w:val="20"/>
              </w:rPr>
            </w:pPr>
            <w:r w:rsidRPr="00817254">
              <w:rPr>
                <w:rFonts w:eastAsia="Times New Roman" w:cs="Arial"/>
                <w:color w:val="000000"/>
                <w:sz w:val="20"/>
                <w:szCs w:val="20"/>
                <w:highlight w:val="white"/>
              </w:rPr>
              <w:t>Asesorías de comunidades autónomas de Europa con la participación de 294 comunidades, buscando la transformación social y educativa</w:t>
            </w:r>
          </w:p>
        </w:tc>
      </w:tr>
      <w:tr w:rsidR="00E65452" w:rsidRPr="00817254" w14:paraId="6F15D497" w14:textId="77777777" w:rsidTr="00004539">
        <w:tc>
          <w:tcPr>
            <w:tcW w:w="820" w:type="dxa"/>
            <w:vMerge/>
            <w:tcBorders>
              <w:left w:val="single" w:sz="6" w:space="0" w:color="FFFFFF" w:themeColor="background1"/>
              <w:right w:val="single" w:sz="6" w:space="0" w:color="FFFFFF" w:themeColor="background1"/>
            </w:tcBorders>
            <w:vAlign w:val="center"/>
          </w:tcPr>
          <w:p w14:paraId="56F8B251"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1DDDA8FE"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4" w:space="0" w:color="FFFFFF" w:themeColor="background1"/>
            </w:tcBorders>
            <w:vAlign w:val="center"/>
          </w:tcPr>
          <w:p w14:paraId="5BA8CA66"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2</w:t>
            </w:r>
          </w:p>
        </w:tc>
        <w:tc>
          <w:tcPr>
            <w:tcW w:w="57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6998BF"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Lectura dialógica e interpretación colectiva de textos en un contexto donde prima la validez de los argumentos.</w:t>
            </w:r>
          </w:p>
        </w:tc>
      </w:tr>
      <w:tr w:rsidR="00E65452" w:rsidRPr="00817254" w14:paraId="587C231C" w14:textId="77777777" w:rsidTr="00004539">
        <w:trPr>
          <w:trHeight w:val="47"/>
        </w:trPr>
        <w:tc>
          <w:tcPr>
            <w:tcW w:w="820" w:type="dxa"/>
            <w:vMerge/>
            <w:tcBorders>
              <w:left w:val="single" w:sz="6" w:space="0" w:color="FFFFFF" w:themeColor="background1"/>
              <w:right w:val="single" w:sz="6" w:space="0" w:color="FFFFFF" w:themeColor="background1"/>
            </w:tcBorders>
            <w:vAlign w:val="center"/>
          </w:tcPr>
          <w:p w14:paraId="338992C7"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3FD0A1C0"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41DA2B33" w14:textId="77777777" w:rsidR="00E65452" w:rsidRPr="00817254" w:rsidRDefault="00E65452" w:rsidP="002019E0">
            <w:pPr>
              <w:spacing w:after="0"/>
              <w:jc w:val="center"/>
              <w:rPr>
                <w:rFonts w:eastAsia="Times New Roman" w:cs="Arial"/>
                <w:sz w:val="20"/>
                <w:szCs w:val="20"/>
              </w:rPr>
            </w:pPr>
            <w:r w:rsidRPr="00817254">
              <w:rPr>
                <w:rFonts w:eastAsia="Times New Roman" w:cs="Arial"/>
                <w:sz w:val="20"/>
                <w:szCs w:val="20"/>
              </w:rPr>
              <w:t>3</w:t>
            </w:r>
          </w:p>
        </w:tc>
        <w:tc>
          <w:tcPr>
            <w:tcW w:w="5783" w:type="dxa"/>
            <w:tcBorders>
              <w:top w:val="single" w:sz="4" w:space="0" w:color="FFFFFF" w:themeColor="background1"/>
              <w:left w:val="single" w:sz="6" w:space="0" w:color="FFFFFF" w:themeColor="background1"/>
              <w:bottom w:val="single" w:sz="4" w:space="0" w:color="FFFFFF" w:themeColor="background1"/>
              <w:right w:val="single" w:sz="4" w:space="0" w:color="FFFFFF" w:themeColor="background1"/>
            </w:tcBorders>
          </w:tcPr>
          <w:p w14:paraId="69B8254E"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Comisiones mixtas de trabajo familias, profesores, comunidad</w:t>
            </w:r>
          </w:p>
        </w:tc>
      </w:tr>
      <w:tr w:rsidR="00E65452" w:rsidRPr="00817254" w14:paraId="3717D6CC" w14:textId="77777777" w:rsidTr="00004539">
        <w:trPr>
          <w:trHeight w:val="553"/>
        </w:trPr>
        <w:tc>
          <w:tcPr>
            <w:tcW w:w="820" w:type="dxa"/>
            <w:vMerge/>
            <w:tcBorders>
              <w:left w:val="single" w:sz="6" w:space="0" w:color="FFFFFF" w:themeColor="background1"/>
              <w:bottom w:val="single" w:sz="4" w:space="0" w:color="FFFFFF" w:themeColor="background1"/>
              <w:right w:val="single" w:sz="6" w:space="0" w:color="FFFFFF" w:themeColor="background1"/>
            </w:tcBorders>
            <w:vAlign w:val="center"/>
          </w:tcPr>
          <w:p w14:paraId="2D5BDA17"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bottom w:val="single" w:sz="4" w:space="0" w:color="FFFFFF" w:themeColor="background1"/>
              <w:right w:val="single" w:sz="6" w:space="0" w:color="FFFFFF" w:themeColor="background1"/>
            </w:tcBorders>
          </w:tcPr>
          <w:p w14:paraId="37CA73EE"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6CCE478D"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4</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09BE11C"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Redes tecnológicas su extensión se ha promovido en Brasil y Unión Europea.</w:t>
            </w:r>
          </w:p>
        </w:tc>
      </w:tr>
      <w:tr w:rsidR="00E65452" w:rsidRPr="00817254" w14:paraId="29F135F6" w14:textId="77777777" w:rsidTr="00004539">
        <w:tc>
          <w:tcPr>
            <w:tcW w:w="820" w:type="dxa"/>
            <w:vMerge w:val="restart"/>
            <w:tcBorders>
              <w:top w:val="single" w:sz="4" w:space="0" w:color="FFFFFF" w:themeColor="background1"/>
              <w:left w:val="single" w:sz="6" w:space="0" w:color="FFFFFF" w:themeColor="background1"/>
              <w:right w:val="single" w:sz="6" w:space="0" w:color="FFFFFF" w:themeColor="background1"/>
            </w:tcBorders>
            <w:vAlign w:val="center"/>
          </w:tcPr>
          <w:p w14:paraId="289831F8"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t>7C</w:t>
            </w:r>
          </w:p>
        </w:tc>
        <w:tc>
          <w:tcPr>
            <w:tcW w:w="1869" w:type="dxa"/>
            <w:vMerge w:val="restart"/>
            <w:tcBorders>
              <w:top w:val="single" w:sz="4" w:space="0" w:color="FFFFFF" w:themeColor="background1"/>
              <w:left w:val="single" w:sz="6" w:space="0" w:color="FFFFFF" w:themeColor="background1"/>
              <w:right w:val="single" w:sz="6" w:space="0" w:color="FFFFFF" w:themeColor="background1"/>
            </w:tcBorders>
          </w:tcPr>
          <w:p w14:paraId="71C1B31C" w14:textId="77777777" w:rsidR="00E65452" w:rsidRPr="00817254" w:rsidRDefault="00E65452" w:rsidP="002019E0">
            <w:pPr>
              <w:jc w:val="center"/>
              <w:rPr>
                <w:rFonts w:eastAsia="Times New Roman" w:cs="Arial"/>
                <w:color w:val="000000"/>
                <w:sz w:val="20"/>
                <w:szCs w:val="20"/>
                <w:highlight w:val="white"/>
                <w:lang w:val="fr-FR"/>
              </w:rPr>
            </w:pPr>
            <w:r w:rsidRPr="00817254">
              <w:rPr>
                <w:rFonts w:eastAsia="Times New Roman" w:cs="Arial"/>
                <w:color w:val="000000"/>
                <w:sz w:val="20"/>
                <w:szCs w:val="20"/>
                <w:highlight w:val="white"/>
                <w:lang w:val="fr-FR"/>
              </w:rPr>
              <w:t>PARENT NETWORK of Western New York</w:t>
            </w:r>
          </w:p>
          <w:p w14:paraId="2F0125F8" w14:textId="77777777" w:rsidR="00E65452" w:rsidRPr="00817254" w:rsidRDefault="00E65452" w:rsidP="002019E0">
            <w:pPr>
              <w:spacing w:after="0"/>
              <w:jc w:val="center"/>
              <w:rPr>
                <w:rFonts w:eastAsia="Times New Roman" w:cs="Arial"/>
                <w:color w:val="000000"/>
                <w:sz w:val="20"/>
                <w:szCs w:val="20"/>
                <w:highlight w:val="white"/>
              </w:rPr>
            </w:pPr>
            <w:r w:rsidRPr="00817254">
              <w:rPr>
                <w:rFonts w:eastAsia="Times New Roman" w:cs="Arial"/>
                <w:sz w:val="20"/>
                <w:szCs w:val="20"/>
              </w:rPr>
              <w:t xml:space="preserve">EE.UU New York </w:t>
            </w:r>
            <w:r w:rsidRPr="00817254">
              <w:rPr>
                <w:rFonts w:eastAsia="Times New Roman" w:cs="Arial"/>
                <w:sz w:val="20"/>
                <w:szCs w:val="20"/>
              </w:rPr>
              <w:lastRenderedPageBreak/>
              <w:t>agencia con fines de lucro</w:t>
            </w: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5A1A6B0A"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lastRenderedPageBreak/>
              <w:t>1</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2895791"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Brindar conocimientos de manera remota a personas con discapacidad o menores recursos</w:t>
            </w:r>
          </w:p>
        </w:tc>
      </w:tr>
      <w:tr w:rsidR="00E65452" w:rsidRPr="00817254" w14:paraId="729C5C29" w14:textId="77777777" w:rsidTr="00004539">
        <w:tc>
          <w:tcPr>
            <w:tcW w:w="820" w:type="dxa"/>
            <w:vMerge/>
            <w:tcBorders>
              <w:left w:val="single" w:sz="6" w:space="0" w:color="FFFFFF" w:themeColor="background1"/>
              <w:right w:val="single" w:sz="6" w:space="0" w:color="FFFFFF" w:themeColor="background1"/>
            </w:tcBorders>
            <w:vAlign w:val="center"/>
          </w:tcPr>
          <w:p w14:paraId="25AFE181"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676AE21C"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0A713A9F"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2</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34E28F33"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Servicios de educación especial, empoderar a personas con discapacidades empleando estrategias educativas</w:t>
            </w:r>
          </w:p>
        </w:tc>
      </w:tr>
      <w:tr w:rsidR="00E65452" w:rsidRPr="00817254" w14:paraId="2FDCB4C0" w14:textId="77777777" w:rsidTr="00004539">
        <w:tc>
          <w:tcPr>
            <w:tcW w:w="820" w:type="dxa"/>
            <w:vMerge/>
            <w:tcBorders>
              <w:left w:val="single" w:sz="6" w:space="0" w:color="FFFFFF" w:themeColor="background1"/>
              <w:right w:val="single" w:sz="6" w:space="0" w:color="FFFFFF" w:themeColor="background1"/>
            </w:tcBorders>
            <w:vAlign w:val="center"/>
          </w:tcPr>
          <w:p w14:paraId="7388796B"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55A6E6B2"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7EED18FF"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3</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8E4E2C6"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Profesionales especialistas interactúan para el intercambio de estrategias y conocimiento.</w:t>
            </w:r>
          </w:p>
        </w:tc>
      </w:tr>
      <w:tr w:rsidR="00E65452" w:rsidRPr="00817254" w14:paraId="7EAFB82F" w14:textId="77777777" w:rsidTr="00004539">
        <w:trPr>
          <w:trHeight w:val="315"/>
        </w:trPr>
        <w:tc>
          <w:tcPr>
            <w:tcW w:w="820" w:type="dxa"/>
            <w:vMerge/>
            <w:tcBorders>
              <w:left w:val="single" w:sz="6" w:space="0" w:color="FFFFFF" w:themeColor="background1"/>
              <w:bottom w:val="single" w:sz="4" w:space="0" w:color="FFFFFF" w:themeColor="background1"/>
              <w:right w:val="single" w:sz="6" w:space="0" w:color="FFFFFF" w:themeColor="background1"/>
            </w:tcBorders>
            <w:vAlign w:val="center"/>
          </w:tcPr>
          <w:p w14:paraId="410EF607"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bottom w:val="single" w:sz="4" w:space="0" w:color="FFFFFF" w:themeColor="background1"/>
              <w:right w:val="single" w:sz="6" w:space="0" w:color="FFFFFF" w:themeColor="background1"/>
            </w:tcBorders>
          </w:tcPr>
          <w:p w14:paraId="760140EF"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2924FB39" w14:textId="77777777" w:rsidR="00E65452" w:rsidRPr="00817254" w:rsidRDefault="00E65452" w:rsidP="002019E0">
            <w:pPr>
              <w:spacing w:after="0"/>
              <w:jc w:val="center"/>
              <w:rPr>
                <w:rFonts w:eastAsia="Times New Roman" w:cs="Arial"/>
                <w:sz w:val="20"/>
                <w:szCs w:val="20"/>
              </w:rPr>
            </w:pPr>
            <w:r w:rsidRPr="00817254">
              <w:rPr>
                <w:rFonts w:eastAsia="Times New Roman" w:cs="Arial"/>
                <w:sz w:val="20"/>
                <w:szCs w:val="20"/>
              </w:rPr>
              <w:t>4</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AC690DA"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Establecimiento con redes donde interactúan profesionales y padres de familia</w:t>
            </w:r>
          </w:p>
        </w:tc>
      </w:tr>
      <w:tr w:rsidR="00E65452" w:rsidRPr="00817254" w14:paraId="5C6DA1BB" w14:textId="77777777" w:rsidTr="00004539">
        <w:tc>
          <w:tcPr>
            <w:tcW w:w="820" w:type="dxa"/>
            <w:vMerge w:val="restart"/>
            <w:tcBorders>
              <w:top w:val="single" w:sz="4" w:space="0" w:color="FFFFFF" w:themeColor="background1"/>
              <w:left w:val="single" w:sz="6" w:space="0" w:color="FFFFFF" w:themeColor="background1"/>
              <w:right w:val="single" w:sz="6" w:space="0" w:color="FFFFFF" w:themeColor="background1"/>
            </w:tcBorders>
            <w:vAlign w:val="center"/>
          </w:tcPr>
          <w:p w14:paraId="3639DDBC"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lastRenderedPageBreak/>
              <w:t>7D</w:t>
            </w:r>
          </w:p>
        </w:tc>
        <w:tc>
          <w:tcPr>
            <w:tcW w:w="1869" w:type="dxa"/>
            <w:vMerge w:val="restart"/>
            <w:tcBorders>
              <w:top w:val="single" w:sz="4" w:space="0" w:color="FFFFFF" w:themeColor="background1"/>
              <w:left w:val="single" w:sz="6" w:space="0" w:color="FFFFFF" w:themeColor="background1"/>
              <w:right w:val="single" w:sz="6" w:space="0" w:color="FFFFFF" w:themeColor="background1"/>
            </w:tcBorders>
          </w:tcPr>
          <w:p w14:paraId="64FC361C" w14:textId="77777777" w:rsidR="00E65452" w:rsidRPr="00817254" w:rsidRDefault="00E65452" w:rsidP="002019E0">
            <w:pPr>
              <w:jc w:val="center"/>
              <w:rPr>
                <w:rFonts w:eastAsia="Times New Roman" w:cs="Arial"/>
                <w:color w:val="000000"/>
                <w:sz w:val="20"/>
                <w:szCs w:val="20"/>
                <w:highlight w:val="white"/>
                <w:lang w:val="fr-FR"/>
              </w:rPr>
            </w:pPr>
            <w:r w:rsidRPr="00817254">
              <w:rPr>
                <w:rFonts w:eastAsia="Times New Roman" w:cs="Arial"/>
                <w:color w:val="000000"/>
                <w:sz w:val="20"/>
                <w:szCs w:val="20"/>
                <w:highlight w:val="white"/>
                <w:lang w:val="fr-FR"/>
              </w:rPr>
              <w:t>KTDRR</w:t>
            </w:r>
          </w:p>
          <w:p w14:paraId="3AB4AE95" w14:textId="77777777" w:rsidR="00E65452" w:rsidRPr="00817254" w:rsidRDefault="00E65452" w:rsidP="002019E0">
            <w:pPr>
              <w:jc w:val="center"/>
              <w:rPr>
                <w:rFonts w:eastAsia="Times New Roman" w:cs="Arial"/>
                <w:color w:val="000000"/>
                <w:sz w:val="20"/>
                <w:szCs w:val="20"/>
                <w:highlight w:val="white"/>
                <w:lang w:val="fr-FR"/>
              </w:rPr>
            </w:pPr>
            <w:r w:rsidRPr="00817254">
              <w:rPr>
                <w:rFonts w:eastAsia="Times New Roman" w:cs="Arial"/>
                <w:color w:val="000000"/>
                <w:sz w:val="20"/>
                <w:szCs w:val="20"/>
                <w:highlight w:val="white"/>
                <w:lang w:val="fr-FR"/>
              </w:rPr>
              <w:t>Knowledge translation for disablity &amp; rehabilitation research</w:t>
            </w:r>
          </w:p>
          <w:p w14:paraId="409A5EE0"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 xml:space="preserve">Estados Unidos / pertenece a la organización </w:t>
            </w:r>
            <w:r w:rsidRPr="00817254">
              <w:rPr>
                <w:rFonts w:eastAsia="Times New Roman" w:cs="Arial"/>
                <w:color w:val="000000"/>
                <w:sz w:val="20"/>
                <w:szCs w:val="20"/>
                <w:highlight w:val="white"/>
              </w:rPr>
              <w:t xml:space="preserve">American </w:t>
            </w:r>
            <w:proofErr w:type="spellStart"/>
            <w:r w:rsidRPr="00817254">
              <w:rPr>
                <w:rFonts w:eastAsia="Times New Roman" w:cs="Arial"/>
                <w:color w:val="000000"/>
                <w:sz w:val="20"/>
                <w:szCs w:val="20"/>
                <w:highlight w:val="white"/>
              </w:rPr>
              <w:t>Institutes</w:t>
            </w:r>
            <w:proofErr w:type="spellEnd"/>
            <w:r w:rsidRPr="00817254">
              <w:rPr>
                <w:rFonts w:eastAsia="Times New Roman" w:cs="Arial"/>
                <w:color w:val="000000"/>
                <w:sz w:val="20"/>
                <w:szCs w:val="20"/>
                <w:highlight w:val="white"/>
              </w:rPr>
              <w:t xml:space="preserve">  </w:t>
            </w:r>
            <w:proofErr w:type="spellStart"/>
            <w:r w:rsidRPr="00817254">
              <w:rPr>
                <w:rFonts w:eastAsia="Times New Roman" w:cs="Arial"/>
                <w:color w:val="000000"/>
                <w:sz w:val="20"/>
                <w:szCs w:val="20"/>
                <w:highlight w:val="white"/>
              </w:rPr>
              <w:t>for</w:t>
            </w:r>
            <w:proofErr w:type="spellEnd"/>
            <w:r w:rsidRPr="00817254">
              <w:rPr>
                <w:rFonts w:eastAsia="Times New Roman" w:cs="Arial"/>
                <w:color w:val="000000"/>
                <w:sz w:val="20"/>
                <w:szCs w:val="20"/>
                <w:highlight w:val="white"/>
              </w:rPr>
              <w:t xml:space="preserve"> </w:t>
            </w:r>
            <w:proofErr w:type="spellStart"/>
            <w:r w:rsidRPr="00817254">
              <w:rPr>
                <w:rFonts w:eastAsia="Times New Roman" w:cs="Arial"/>
                <w:color w:val="000000"/>
                <w:sz w:val="20"/>
                <w:szCs w:val="20"/>
                <w:highlight w:val="white"/>
              </w:rPr>
              <w:t>Research</w:t>
            </w:r>
            <w:proofErr w:type="spellEnd"/>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7D367B8E"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1</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2E2F0207"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Traducción de Conocimientos para la Investigación de Discapacidad y Rehabilitación; cada uno de los grupos de trabajo y comunidades de práctica (</w:t>
            </w:r>
            <w:proofErr w:type="spellStart"/>
            <w:r w:rsidRPr="00817254">
              <w:rPr>
                <w:rFonts w:eastAsia="Times New Roman" w:cs="Arial"/>
                <w:color w:val="000000"/>
                <w:sz w:val="20"/>
                <w:szCs w:val="20"/>
                <w:highlight w:val="white"/>
              </w:rPr>
              <w:t>CoP</w:t>
            </w:r>
            <w:proofErr w:type="spellEnd"/>
            <w:r w:rsidRPr="00817254">
              <w:rPr>
                <w:rFonts w:eastAsia="Times New Roman" w:cs="Arial"/>
                <w:color w:val="000000"/>
                <w:sz w:val="20"/>
                <w:szCs w:val="20"/>
                <w:highlight w:val="white"/>
              </w:rPr>
              <w:t>) está compuesto por beneficiarios de NIDILRR y otros participantes interesados.</w:t>
            </w:r>
          </w:p>
        </w:tc>
      </w:tr>
      <w:tr w:rsidR="00E65452" w:rsidRPr="00817254" w14:paraId="5AB485F0" w14:textId="77777777" w:rsidTr="00004539">
        <w:tc>
          <w:tcPr>
            <w:tcW w:w="820" w:type="dxa"/>
            <w:vMerge/>
            <w:tcBorders>
              <w:left w:val="single" w:sz="6" w:space="0" w:color="FFFFFF" w:themeColor="background1"/>
              <w:right w:val="single" w:sz="6" w:space="0" w:color="FFFFFF" w:themeColor="background1"/>
            </w:tcBorders>
            <w:vAlign w:val="center"/>
          </w:tcPr>
          <w:p w14:paraId="74E25EF1"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2B6145DA"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4DC1913D"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2</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15EDB139"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Servicios de educación especial implementando estrategias educativas descubriendo potencial de aprendizaje y conocimiento.</w:t>
            </w:r>
          </w:p>
        </w:tc>
      </w:tr>
      <w:tr w:rsidR="00E65452" w:rsidRPr="00817254" w14:paraId="29B8C7CF" w14:textId="77777777" w:rsidTr="00004539">
        <w:tc>
          <w:tcPr>
            <w:tcW w:w="820" w:type="dxa"/>
            <w:vMerge/>
            <w:tcBorders>
              <w:left w:val="single" w:sz="6" w:space="0" w:color="FFFFFF" w:themeColor="background1"/>
              <w:right w:val="single" w:sz="6" w:space="0" w:color="FFFFFF" w:themeColor="background1"/>
            </w:tcBorders>
            <w:vAlign w:val="center"/>
          </w:tcPr>
          <w:p w14:paraId="5A8324CC"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7427936D"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2D4FBD53"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3</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71EF563"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 xml:space="preserve">Trabaja con un panel de revisión de expertos representan una variedad de áreas de especialización, que incluyen traducción de conocimientos, investigación sobre discapacidad y rehabilitación, revisiones sistemáticas y </w:t>
            </w:r>
            <w:proofErr w:type="spellStart"/>
            <w:r w:rsidRPr="00817254">
              <w:rPr>
                <w:rFonts w:eastAsia="Times New Roman" w:cs="Arial"/>
                <w:color w:val="000000"/>
                <w:sz w:val="20"/>
                <w:szCs w:val="20"/>
                <w:highlight w:val="white"/>
              </w:rPr>
              <w:t>metanálisis</w:t>
            </w:r>
            <w:proofErr w:type="spellEnd"/>
            <w:r w:rsidRPr="00817254">
              <w:rPr>
                <w:rFonts w:eastAsia="Times New Roman" w:cs="Arial"/>
                <w:color w:val="000000"/>
                <w:sz w:val="20"/>
                <w:szCs w:val="20"/>
                <w:highlight w:val="white"/>
              </w:rPr>
              <w:t>, accesibilidad, política de discapacidad, competencia cultural y lingüística</w:t>
            </w:r>
          </w:p>
        </w:tc>
      </w:tr>
      <w:tr w:rsidR="00E65452" w:rsidRPr="00817254" w14:paraId="6BD527FE" w14:textId="77777777" w:rsidTr="00004539">
        <w:tc>
          <w:tcPr>
            <w:tcW w:w="820" w:type="dxa"/>
            <w:vMerge/>
            <w:tcBorders>
              <w:left w:val="single" w:sz="6" w:space="0" w:color="FFFFFF" w:themeColor="background1"/>
              <w:bottom w:val="single" w:sz="4" w:space="0" w:color="FFFFFF" w:themeColor="background1"/>
              <w:right w:val="single" w:sz="6" w:space="0" w:color="FFFFFF" w:themeColor="background1"/>
            </w:tcBorders>
            <w:vAlign w:val="center"/>
          </w:tcPr>
          <w:p w14:paraId="30D618CE"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bottom w:val="single" w:sz="4" w:space="0" w:color="FFFFFF" w:themeColor="background1"/>
              <w:right w:val="single" w:sz="6" w:space="0" w:color="FFFFFF" w:themeColor="background1"/>
            </w:tcBorders>
          </w:tcPr>
          <w:p w14:paraId="2082710D"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4737CDDF"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4</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2E1CF29"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Divulgación dirigida al Instituto Nacional sobre discapacidad, vida independiente y rehabilitación, dos veces al año se realiza reunión interactiva en línea.</w:t>
            </w:r>
          </w:p>
        </w:tc>
      </w:tr>
      <w:tr w:rsidR="00E65452" w:rsidRPr="00817254" w14:paraId="157C5FBB" w14:textId="77777777" w:rsidTr="00004539">
        <w:tc>
          <w:tcPr>
            <w:tcW w:w="820" w:type="dxa"/>
            <w:vMerge w:val="restart"/>
            <w:tcBorders>
              <w:top w:val="single" w:sz="4" w:space="0" w:color="FFFFFF" w:themeColor="background1"/>
              <w:left w:val="single" w:sz="6" w:space="0" w:color="FFFFFF" w:themeColor="background1"/>
              <w:right w:val="single" w:sz="6" w:space="0" w:color="FFFFFF" w:themeColor="background1"/>
            </w:tcBorders>
            <w:vAlign w:val="center"/>
          </w:tcPr>
          <w:p w14:paraId="6B6C1BC7"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t>7E</w:t>
            </w:r>
          </w:p>
        </w:tc>
        <w:tc>
          <w:tcPr>
            <w:tcW w:w="1869" w:type="dxa"/>
            <w:vMerge w:val="restart"/>
            <w:tcBorders>
              <w:top w:val="single" w:sz="4" w:space="0" w:color="FFFFFF" w:themeColor="background1"/>
              <w:left w:val="single" w:sz="6" w:space="0" w:color="FFFFFF" w:themeColor="background1"/>
              <w:right w:val="single" w:sz="6" w:space="0" w:color="FFFFFF" w:themeColor="background1"/>
            </w:tcBorders>
          </w:tcPr>
          <w:p w14:paraId="2D729FB3" w14:textId="77777777" w:rsidR="00E65452" w:rsidRPr="00817254" w:rsidRDefault="00E65452" w:rsidP="002019E0">
            <w:pPr>
              <w:jc w:val="center"/>
              <w:rPr>
                <w:rFonts w:eastAsia="Times New Roman" w:cs="Arial"/>
                <w:color w:val="000000"/>
                <w:sz w:val="20"/>
                <w:szCs w:val="20"/>
                <w:highlight w:val="white"/>
              </w:rPr>
            </w:pPr>
            <w:proofErr w:type="spellStart"/>
            <w:r w:rsidRPr="00817254">
              <w:rPr>
                <w:rFonts w:eastAsia="Times New Roman" w:cs="Arial"/>
                <w:color w:val="000000"/>
                <w:sz w:val="20"/>
                <w:szCs w:val="20"/>
                <w:highlight w:val="white"/>
              </w:rPr>
              <w:t>ScolarTIC</w:t>
            </w:r>
            <w:proofErr w:type="spellEnd"/>
          </w:p>
          <w:p w14:paraId="216559FD"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Madrid /España alianzas estratégicas con fundaciones</w:t>
            </w: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483A0F15"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1</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661801A"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Integración de 41 países lo integran miembros que participen en la plataforma educativa</w:t>
            </w:r>
          </w:p>
        </w:tc>
      </w:tr>
      <w:tr w:rsidR="00E65452" w:rsidRPr="00817254" w14:paraId="01715214" w14:textId="77777777" w:rsidTr="00004539">
        <w:tc>
          <w:tcPr>
            <w:tcW w:w="820" w:type="dxa"/>
            <w:vMerge/>
            <w:tcBorders>
              <w:left w:val="single" w:sz="6" w:space="0" w:color="FFFFFF" w:themeColor="background1"/>
              <w:right w:val="single" w:sz="6" w:space="0" w:color="FFFFFF" w:themeColor="background1"/>
            </w:tcBorders>
            <w:vAlign w:val="center"/>
          </w:tcPr>
          <w:p w14:paraId="5F714D31"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18AB3CDA"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7C4A27D2"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2</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3E69F12"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Educación en conocimiento y cultura a través de portales educativos</w:t>
            </w:r>
          </w:p>
        </w:tc>
      </w:tr>
      <w:tr w:rsidR="00E65452" w:rsidRPr="00817254" w14:paraId="717F337D" w14:textId="77777777" w:rsidTr="00004539">
        <w:tc>
          <w:tcPr>
            <w:tcW w:w="820" w:type="dxa"/>
            <w:vMerge/>
            <w:tcBorders>
              <w:left w:val="single" w:sz="6" w:space="0" w:color="FFFFFF" w:themeColor="background1"/>
              <w:right w:val="single" w:sz="6" w:space="0" w:color="FFFFFF" w:themeColor="background1"/>
            </w:tcBorders>
            <w:vAlign w:val="center"/>
          </w:tcPr>
          <w:p w14:paraId="73668940"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3FAC6119"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5315E368" w14:textId="77777777" w:rsidR="00E65452" w:rsidRPr="00817254" w:rsidRDefault="00E65452" w:rsidP="002019E0">
            <w:pPr>
              <w:spacing w:after="0"/>
              <w:jc w:val="center"/>
              <w:rPr>
                <w:rFonts w:eastAsia="Times New Roman" w:cs="Arial"/>
                <w:sz w:val="20"/>
                <w:szCs w:val="20"/>
              </w:rPr>
            </w:pPr>
            <w:r w:rsidRPr="00817254">
              <w:rPr>
                <w:rFonts w:eastAsia="Times New Roman" w:cs="Arial"/>
                <w:sz w:val="20"/>
                <w:szCs w:val="20"/>
              </w:rPr>
              <w:t>3</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9C1F922"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Formadores expertos en el ámbito pedagógico</w:t>
            </w:r>
          </w:p>
        </w:tc>
      </w:tr>
      <w:tr w:rsidR="00E65452" w:rsidRPr="00817254" w14:paraId="70C423EC" w14:textId="77777777" w:rsidTr="00004539">
        <w:tc>
          <w:tcPr>
            <w:tcW w:w="820" w:type="dxa"/>
            <w:vMerge/>
            <w:tcBorders>
              <w:left w:val="single" w:sz="6" w:space="0" w:color="FFFFFF" w:themeColor="background1"/>
              <w:bottom w:val="single" w:sz="4" w:space="0" w:color="FFFFFF" w:themeColor="background1"/>
              <w:right w:val="single" w:sz="6" w:space="0" w:color="FFFFFF" w:themeColor="background1"/>
            </w:tcBorders>
            <w:vAlign w:val="center"/>
          </w:tcPr>
          <w:p w14:paraId="37E72DB5"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bottom w:val="single" w:sz="4" w:space="0" w:color="FFFFFF" w:themeColor="background1"/>
              <w:right w:val="single" w:sz="6" w:space="0" w:color="FFFFFF" w:themeColor="background1"/>
            </w:tcBorders>
          </w:tcPr>
          <w:p w14:paraId="3AD156CA"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0BFB5BA7"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4</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4F7C818"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Comunidades abiertas establecen debates e intercambio de conocimientos mediante el Portal educativo. Método On-line</w:t>
            </w:r>
          </w:p>
        </w:tc>
      </w:tr>
      <w:tr w:rsidR="00E65452" w:rsidRPr="00817254" w14:paraId="2A0C9853" w14:textId="77777777" w:rsidTr="00004539">
        <w:tc>
          <w:tcPr>
            <w:tcW w:w="820" w:type="dxa"/>
            <w:vMerge w:val="restart"/>
            <w:tcBorders>
              <w:top w:val="single" w:sz="4" w:space="0" w:color="FFFFFF" w:themeColor="background1"/>
              <w:left w:val="single" w:sz="6" w:space="0" w:color="FFFFFF" w:themeColor="background1"/>
              <w:right w:val="single" w:sz="6" w:space="0" w:color="FFFFFF" w:themeColor="background1"/>
            </w:tcBorders>
            <w:vAlign w:val="center"/>
          </w:tcPr>
          <w:p w14:paraId="2FA30175"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t>7F</w:t>
            </w:r>
          </w:p>
        </w:tc>
        <w:tc>
          <w:tcPr>
            <w:tcW w:w="1869" w:type="dxa"/>
            <w:vMerge w:val="restart"/>
            <w:tcBorders>
              <w:top w:val="single" w:sz="4" w:space="0" w:color="FFFFFF" w:themeColor="background1"/>
              <w:left w:val="single" w:sz="6" w:space="0" w:color="FFFFFF" w:themeColor="background1"/>
              <w:right w:val="single" w:sz="6" w:space="0" w:color="FFFFFF" w:themeColor="background1"/>
            </w:tcBorders>
          </w:tcPr>
          <w:p w14:paraId="1B7BAE90"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t>Madrid, ciencia y tecnología</w:t>
            </w:r>
          </w:p>
          <w:p w14:paraId="72E4819B" w14:textId="77777777" w:rsidR="00E65452" w:rsidRPr="00817254" w:rsidRDefault="00E65452" w:rsidP="002019E0">
            <w:pPr>
              <w:rPr>
                <w:rFonts w:eastAsia="Times New Roman" w:cs="Arial"/>
                <w:sz w:val="20"/>
                <w:szCs w:val="20"/>
              </w:rPr>
            </w:pPr>
            <w:r w:rsidRPr="00817254">
              <w:rPr>
                <w:rFonts w:eastAsia="Times New Roman" w:cs="Arial"/>
                <w:sz w:val="20"/>
                <w:szCs w:val="20"/>
              </w:rPr>
              <w:t xml:space="preserve">Madrid /España </w:t>
            </w:r>
          </w:p>
          <w:p w14:paraId="434D1976"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Dirección General de Ciencia y Tecnología</w:t>
            </w: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7FD68AF8"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1</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649E5AC1"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Investigadores y comunidades científicas que aporten conocimientos a nivel regional y estatal</w:t>
            </w:r>
          </w:p>
        </w:tc>
      </w:tr>
      <w:tr w:rsidR="00E65452" w:rsidRPr="00817254" w14:paraId="1B67197B" w14:textId="77777777" w:rsidTr="00004539">
        <w:tc>
          <w:tcPr>
            <w:tcW w:w="820" w:type="dxa"/>
            <w:vMerge/>
            <w:tcBorders>
              <w:left w:val="single" w:sz="6" w:space="0" w:color="FFFFFF" w:themeColor="background1"/>
              <w:right w:val="single" w:sz="6" w:space="0" w:color="FFFFFF" w:themeColor="background1"/>
            </w:tcBorders>
            <w:vAlign w:val="center"/>
          </w:tcPr>
          <w:p w14:paraId="403C6572"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680C9037"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45058AF6"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2</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00B0D850"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“Acceso abierto” (Open Access) de la información y producción científica por medios electrónicos, ofrece a la sociedad esta Plataforma digital de acceso libre a la producción científica, generada por las Universidades públicas.</w:t>
            </w:r>
          </w:p>
        </w:tc>
      </w:tr>
      <w:tr w:rsidR="00E65452" w:rsidRPr="00817254" w14:paraId="40422EBF" w14:textId="77777777" w:rsidTr="00004539">
        <w:trPr>
          <w:trHeight w:val="157"/>
        </w:trPr>
        <w:tc>
          <w:tcPr>
            <w:tcW w:w="820" w:type="dxa"/>
            <w:vMerge/>
            <w:tcBorders>
              <w:left w:val="single" w:sz="6" w:space="0" w:color="FFFFFF" w:themeColor="background1"/>
              <w:right w:val="single" w:sz="6" w:space="0" w:color="FFFFFF" w:themeColor="background1"/>
            </w:tcBorders>
            <w:vAlign w:val="center"/>
          </w:tcPr>
          <w:p w14:paraId="5D4941CD"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5E6E2AB4"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left w:val="single" w:sz="6" w:space="0" w:color="FFFFFF" w:themeColor="background1"/>
              <w:bottom w:val="single" w:sz="4" w:space="0" w:color="FFFFFF" w:themeColor="background1"/>
              <w:right w:val="single" w:sz="6" w:space="0" w:color="FFFFFF" w:themeColor="background1"/>
            </w:tcBorders>
            <w:vAlign w:val="center"/>
          </w:tcPr>
          <w:p w14:paraId="436919A7" w14:textId="77777777" w:rsidR="00E65452" w:rsidRPr="00817254" w:rsidRDefault="00E65452" w:rsidP="002019E0">
            <w:pPr>
              <w:spacing w:after="0"/>
              <w:jc w:val="center"/>
              <w:rPr>
                <w:rFonts w:eastAsia="Times New Roman" w:cs="Arial"/>
                <w:color w:val="000000"/>
                <w:sz w:val="20"/>
                <w:szCs w:val="20"/>
                <w:highlight w:val="white"/>
              </w:rPr>
            </w:pPr>
            <w:r w:rsidRPr="00817254">
              <w:rPr>
                <w:rFonts w:eastAsia="Times New Roman" w:cs="Arial"/>
                <w:sz w:val="20"/>
                <w:szCs w:val="20"/>
              </w:rPr>
              <w:t>3</w:t>
            </w:r>
          </w:p>
        </w:tc>
        <w:tc>
          <w:tcPr>
            <w:tcW w:w="5783" w:type="dxa"/>
            <w:tcBorders>
              <w:left w:val="single" w:sz="6" w:space="0" w:color="FFFFFF" w:themeColor="background1"/>
              <w:bottom w:val="single" w:sz="4" w:space="0" w:color="FFFFFF" w:themeColor="background1"/>
              <w:right w:val="single" w:sz="6" w:space="0" w:color="FFFFFF" w:themeColor="background1"/>
            </w:tcBorders>
          </w:tcPr>
          <w:p w14:paraId="3209E27A"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Miembros vinculados a proyectos sinérgicos científicos</w:t>
            </w:r>
          </w:p>
        </w:tc>
      </w:tr>
      <w:tr w:rsidR="00E65452" w:rsidRPr="00817254" w14:paraId="2C38FAB6" w14:textId="77777777" w:rsidTr="00004539">
        <w:tc>
          <w:tcPr>
            <w:tcW w:w="820" w:type="dxa"/>
            <w:vMerge/>
            <w:tcBorders>
              <w:left w:val="single" w:sz="6" w:space="0" w:color="FFFFFF" w:themeColor="background1"/>
              <w:bottom w:val="single" w:sz="4" w:space="0" w:color="FFFFFF" w:themeColor="background1"/>
              <w:right w:val="single" w:sz="6" w:space="0" w:color="FFFFFF" w:themeColor="background1"/>
            </w:tcBorders>
            <w:vAlign w:val="center"/>
          </w:tcPr>
          <w:p w14:paraId="460839B7"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bottom w:val="single" w:sz="4" w:space="0" w:color="FFFFFF" w:themeColor="background1"/>
              <w:right w:val="single" w:sz="6" w:space="0" w:color="FFFFFF" w:themeColor="background1"/>
            </w:tcBorders>
          </w:tcPr>
          <w:p w14:paraId="449B03A3"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left w:val="single" w:sz="6" w:space="0" w:color="FFFFFF" w:themeColor="background1"/>
              <w:bottom w:val="single" w:sz="4" w:space="0" w:color="FFFFFF" w:themeColor="background1"/>
              <w:right w:val="single" w:sz="6" w:space="0" w:color="FFFFFF" w:themeColor="background1"/>
            </w:tcBorders>
            <w:vAlign w:val="center"/>
          </w:tcPr>
          <w:p w14:paraId="09E75C1C"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4</w:t>
            </w:r>
          </w:p>
        </w:tc>
        <w:tc>
          <w:tcPr>
            <w:tcW w:w="5783" w:type="dxa"/>
            <w:tcBorders>
              <w:left w:val="single" w:sz="6" w:space="0" w:color="FFFFFF" w:themeColor="background1"/>
              <w:bottom w:val="single" w:sz="4" w:space="0" w:color="FFFFFF" w:themeColor="background1"/>
              <w:right w:val="single" w:sz="6" w:space="0" w:color="FFFFFF" w:themeColor="background1"/>
            </w:tcBorders>
          </w:tcPr>
          <w:p w14:paraId="0BC55420"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Redes de laboratorio y evaluadores su comunicación se manifiesta en los resultados de producción científica.</w:t>
            </w:r>
          </w:p>
        </w:tc>
      </w:tr>
      <w:tr w:rsidR="00E65452" w:rsidRPr="00817254" w14:paraId="69E91E6B" w14:textId="77777777" w:rsidTr="00004539">
        <w:tc>
          <w:tcPr>
            <w:tcW w:w="820" w:type="dxa"/>
            <w:vMerge w:val="restart"/>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20F6DC9B"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color w:val="000000"/>
                <w:sz w:val="20"/>
                <w:szCs w:val="20"/>
                <w:highlight w:val="white"/>
              </w:rPr>
              <w:t>7G</w:t>
            </w:r>
          </w:p>
        </w:tc>
        <w:tc>
          <w:tcPr>
            <w:tcW w:w="1869" w:type="dxa"/>
            <w:vMerge w:val="restart"/>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3979DA89" w14:textId="77777777" w:rsidR="00E65452" w:rsidRPr="00817254" w:rsidRDefault="00E65452" w:rsidP="002019E0">
            <w:pPr>
              <w:jc w:val="center"/>
              <w:rPr>
                <w:rFonts w:eastAsia="Times New Roman" w:cs="Arial"/>
                <w:color w:val="000000"/>
                <w:sz w:val="20"/>
                <w:szCs w:val="20"/>
                <w:highlight w:val="white"/>
              </w:rPr>
            </w:pPr>
            <w:proofErr w:type="spellStart"/>
            <w:r w:rsidRPr="00817254">
              <w:rPr>
                <w:rFonts w:eastAsia="Times New Roman" w:cs="Arial"/>
                <w:color w:val="000000"/>
                <w:sz w:val="20"/>
                <w:szCs w:val="20"/>
                <w:highlight w:val="white"/>
              </w:rPr>
              <w:t>EurOMA</w:t>
            </w:r>
            <w:proofErr w:type="spellEnd"/>
          </w:p>
          <w:p w14:paraId="12C18467"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Reino Unido (Europa)</w:t>
            </w:r>
          </w:p>
          <w:p w14:paraId="25011399"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Gestión de Operaciones</w:t>
            </w: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3559A68E"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1</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4B57647C"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Red de académicos y profesionales con el interés de Gestión de Operación (investigación - práctica).</w:t>
            </w:r>
          </w:p>
          <w:p w14:paraId="72B6CD26" w14:textId="77777777" w:rsidR="00E65452" w:rsidRPr="00817254" w:rsidRDefault="00E65452" w:rsidP="002019E0">
            <w:pPr>
              <w:spacing w:after="0"/>
              <w:rPr>
                <w:rFonts w:eastAsia="Times New Roman" w:cs="Arial"/>
                <w:color w:val="000000"/>
                <w:sz w:val="20"/>
                <w:szCs w:val="20"/>
                <w:highlight w:val="white"/>
              </w:rPr>
            </w:pPr>
            <w:r w:rsidRPr="00817254">
              <w:rPr>
                <w:rFonts w:eastAsia="Times New Roman" w:cs="Arial"/>
                <w:color w:val="000000"/>
                <w:sz w:val="20"/>
                <w:szCs w:val="20"/>
                <w:highlight w:val="white"/>
              </w:rPr>
              <w:t>(Instituto Europeo de Estudios Avanzados en Gestión) EIASM POMS (</w:t>
            </w:r>
            <w:proofErr w:type="spellStart"/>
            <w:r w:rsidRPr="00817254">
              <w:rPr>
                <w:rFonts w:eastAsia="Times New Roman" w:cs="Arial"/>
                <w:color w:val="000000"/>
                <w:sz w:val="20"/>
                <w:szCs w:val="20"/>
                <w:highlight w:val="white"/>
              </w:rPr>
              <w:t>Production</w:t>
            </w:r>
            <w:proofErr w:type="spellEnd"/>
            <w:r w:rsidRPr="00817254">
              <w:rPr>
                <w:rFonts w:eastAsia="Times New Roman" w:cs="Arial"/>
                <w:color w:val="000000"/>
                <w:sz w:val="20"/>
                <w:szCs w:val="20"/>
                <w:highlight w:val="white"/>
              </w:rPr>
              <w:t xml:space="preserve"> and </w:t>
            </w:r>
            <w:proofErr w:type="spellStart"/>
            <w:r w:rsidRPr="00817254">
              <w:rPr>
                <w:rFonts w:eastAsia="Times New Roman" w:cs="Arial"/>
                <w:color w:val="000000"/>
                <w:sz w:val="20"/>
                <w:szCs w:val="20"/>
                <w:highlight w:val="white"/>
              </w:rPr>
              <w:t>Operations</w:t>
            </w:r>
            <w:proofErr w:type="spellEnd"/>
            <w:r w:rsidRPr="00817254">
              <w:rPr>
                <w:rFonts w:eastAsia="Times New Roman" w:cs="Arial"/>
                <w:color w:val="000000"/>
                <w:sz w:val="20"/>
                <w:szCs w:val="20"/>
                <w:highlight w:val="white"/>
              </w:rPr>
              <w:t xml:space="preserve"> Management </w:t>
            </w:r>
            <w:proofErr w:type="spellStart"/>
            <w:r w:rsidRPr="00817254">
              <w:rPr>
                <w:rFonts w:eastAsia="Times New Roman" w:cs="Arial"/>
                <w:color w:val="000000"/>
                <w:sz w:val="20"/>
                <w:szCs w:val="20"/>
                <w:highlight w:val="white"/>
              </w:rPr>
              <w:t>Society</w:t>
            </w:r>
            <w:proofErr w:type="spellEnd"/>
            <w:r w:rsidRPr="00817254">
              <w:rPr>
                <w:rFonts w:eastAsia="Times New Roman" w:cs="Arial"/>
                <w:color w:val="000000"/>
                <w:sz w:val="20"/>
                <w:szCs w:val="20"/>
                <w:highlight w:val="white"/>
              </w:rPr>
              <w:t>) y JOMSA(Asociación Japonesa de Estrategia y Gestión de Operaciones) en Asia</w:t>
            </w:r>
          </w:p>
        </w:tc>
      </w:tr>
      <w:tr w:rsidR="00E65452" w:rsidRPr="00817254" w14:paraId="66AF2CF1" w14:textId="77777777" w:rsidTr="00004539">
        <w:tc>
          <w:tcPr>
            <w:tcW w:w="820" w:type="dxa"/>
            <w:vMerge/>
            <w:tcBorders>
              <w:top w:val="single" w:sz="4" w:space="0" w:color="FFFFFF" w:themeColor="background1"/>
              <w:left w:val="single" w:sz="6" w:space="0" w:color="FFFFFF" w:themeColor="background1"/>
              <w:right w:val="single" w:sz="6" w:space="0" w:color="FFFFFF" w:themeColor="background1"/>
            </w:tcBorders>
            <w:vAlign w:val="center"/>
          </w:tcPr>
          <w:p w14:paraId="2F40D334"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top w:val="single" w:sz="4" w:space="0" w:color="FFFFFF" w:themeColor="background1"/>
              <w:left w:val="single" w:sz="6" w:space="0" w:color="FFFFFF" w:themeColor="background1"/>
              <w:right w:val="single" w:sz="6" w:space="0" w:color="FFFFFF" w:themeColor="background1"/>
            </w:tcBorders>
          </w:tcPr>
          <w:p w14:paraId="64F32DAE"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right w:val="single" w:sz="6" w:space="0" w:color="FFFFFF" w:themeColor="background1"/>
            </w:tcBorders>
            <w:vAlign w:val="center"/>
          </w:tcPr>
          <w:p w14:paraId="602C6A77"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2</w:t>
            </w:r>
          </w:p>
        </w:tc>
        <w:tc>
          <w:tcPr>
            <w:tcW w:w="5783" w:type="dxa"/>
            <w:tcBorders>
              <w:top w:val="single" w:sz="4" w:space="0" w:color="FFFFFF" w:themeColor="background1"/>
              <w:left w:val="single" w:sz="6" w:space="0" w:color="FFFFFF" w:themeColor="background1"/>
              <w:right w:val="single" w:sz="6" w:space="0" w:color="FFFFFF" w:themeColor="background1"/>
            </w:tcBorders>
          </w:tcPr>
          <w:p w14:paraId="22FD338B" w14:textId="77777777" w:rsidR="00E65452" w:rsidRPr="00817254" w:rsidRDefault="00E65452" w:rsidP="002019E0">
            <w:pPr>
              <w:rPr>
                <w:rFonts w:eastAsia="Times New Roman" w:cs="Arial"/>
                <w:sz w:val="20"/>
                <w:szCs w:val="20"/>
              </w:rPr>
            </w:pPr>
            <w:r w:rsidRPr="00817254">
              <w:rPr>
                <w:rFonts w:eastAsia="Times New Roman" w:cs="Arial"/>
                <w:sz w:val="20"/>
                <w:szCs w:val="20"/>
              </w:rPr>
              <w:t xml:space="preserve">Participación en los seminarios impuestos por los miembros de la facultad que imparten los cursos de EDEN están todos afiliados a instituciones internacionales líderes y </w:t>
            </w:r>
            <w:proofErr w:type="spellStart"/>
            <w:r w:rsidRPr="00817254">
              <w:rPr>
                <w:rFonts w:eastAsia="Times New Roman" w:cs="Arial"/>
                <w:sz w:val="20"/>
                <w:szCs w:val="20"/>
              </w:rPr>
              <w:t>EurOMA</w:t>
            </w:r>
            <w:proofErr w:type="spellEnd"/>
            <w:r w:rsidRPr="00817254">
              <w:rPr>
                <w:rFonts w:eastAsia="Times New Roman" w:cs="Arial"/>
                <w:sz w:val="20"/>
                <w:szCs w:val="20"/>
              </w:rPr>
              <w:t xml:space="preserve"> es una membresía abierta a nivel internacional</w:t>
            </w:r>
          </w:p>
        </w:tc>
      </w:tr>
      <w:tr w:rsidR="00E65452" w:rsidRPr="00817254" w14:paraId="0272381B" w14:textId="77777777" w:rsidTr="00004539">
        <w:trPr>
          <w:trHeight w:val="677"/>
        </w:trPr>
        <w:tc>
          <w:tcPr>
            <w:tcW w:w="820" w:type="dxa"/>
            <w:vMerge/>
            <w:tcBorders>
              <w:top w:val="single" w:sz="4" w:space="0" w:color="FFFFFF" w:themeColor="background1"/>
              <w:left w:val="single" w:sz="6" w:space="0" w:color="FFFFFF" w:themeColor="background1"/>
              <w:right w:val="single" w:sz="6" w:space="0" w:color="FFFFFF" w:themeColor="background1"/>
            </w:tcBorders>
            <w:vAlign w:val="center"/>
          </w:tcPr>
          <w:p w14:paraId="695C0465"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top w:val="single" w:sz="4" w:space="0" w:color="FFFFFF" w:themeColor="background1"/>
              <w:left w:val="single" w:sz="6" w:space="0" w:color="FFFFFF" w:themeColor="background1"/>
              <w:right w:val="single" w:sz="6" w:space="0" w:color="FFFFFF" w:themeColor="background1"/>
            </w:tcBorders>
          </w:tcPr>
          <w:p w14:paraId="0A2197A6"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vAlign w:val="center"/>
          </w:tcPr>
          <w:p w14:paraId="45C35F92" w14:textId="77777777" w:rsidR="00E65452" w:rsidRPr="00817254" w:rsidRDefault="00E65452" w:rsidP="002019E0">
            <w:pPr>
              <w:jc w:val="center"/>
              <w:rPr>
                <w:rFonts w:eastAsia="Times New Roman" w:cs="Arial"/>
                <w:sz w:val="20"/>
                <w:szCs w:val="20"/>
              </w:rPr>
            </w:pPr>
            <w:r w:rsidRPr="00817254">
              <w:rPr>
                <w:rFonts w:eastAsia="Times New Roman" w:cs="Arial"/>
                <w:sz w:val="20"/>
                <w:szCs w:val="20"/>
              </w:rPr>
              <w:t>3</w:t>
            </w:r>
          </w:p>
        </w:tc>
        <w:tc>
          <w:tcPr>
            <w:tcW w:w="578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tcPr>
          <w:p w14:paraId="73363A94" w14:textId="5566127D" w:rsidR="00E65452" w:rsidRPr="00817254" w:rsidRDefault="00E65452" w:rsidP="002019E0">
            <w:pPr>
              <w:spacing w:after="0"/>
              <w:rPr>
                <w:rFonts w:eastAsia="Times New Roman" w:cs="Arial"/>
                <w:sz w:val="20"/>
                <w:szCs w:val="20"/>
              </w:rPr>
            </w:pPr>
            <w:r w:rsidRPr="00817254">
              <w:rPr>
                <w:rFonts w:eastAsia="Times New Roman" w:cs="Arial"/>
                <w:sz w:val="20"/>
                <w:szCs w:val="20"/>
              </w:rPr>
              <w:t>Instituto Europeo de Estudios Avanzados en Gestión) EIASM POMS (</w:t>
            </w:r>
            <w:proofErr w:type="spellStart"/>
            <w:r w:rsidRPr="00817254">
              <w:rPr>
                <w:rFonts w:eastAsia="Times New Roman" w:cs="Arial"/>
                <w:sz w:val="20"/>
                <w:szCs w:val="20"/>
              </w:rPr>
              <w:t>Production</w:t>
            </w:r>
            <w:proofErr w:type="spellEnd"/>
            <w:r w:rsidRPr="00817254">
              <w:rPr>
                <w:rFonts w:eastAsia="Times New Roman" w:cs="Arial"/>
                <w:sz w:val="20"/>
                <w:szCs w:val="20"/>
              </w:rPr>
              <w:t xml:space="preserve"> and </w:t>
            </w:r>
            <w:proofErr w:type="spellStart"/>
            <w:r w:rsidRPr="00817254">
              <w:rPr>
                <w:rFonts w:eastAsia="Times New Roman" w:cs="Arial"/>
                <w:sz w:val="20"/>
                <w:szCs w:val="20"/>
              </w:rPr>
              <w:t>Operations</w:t>
            </w:r>
            <w:proofErr w:type="spellEnd"/>
            <w:r w:rsidRPr="00817254">
              <w:rPr>
                <w:rFonts w:eastAsia="Times New Roman" w:cs="Arial"/>
                <w:sz w:val="20"/>
                <w:szCs w:val="20"/>
              </w:rPr>
              <w:t xml:space="preserve"> Management </w:t>
            </w:r>
            <w:proofErr w:type="spellStart"/>
            <w:r w:rsidRPr="00817254">
              <w:rPr>
                <w:rFonts w:eastAsia="Times New Roman" w:cs="Arial"/>
                <w:sz w:val="20"/>
                <w:szCs w:val="20"/>
              </w:rPr>
              <w:t>Society</w:t>
            </w:r>
            <w:proofErr w:type="spellEnd"/>
            <w:r w:rsidRPr="00817254">
              <w:rPr>
                <w:rFonts w:eastAsia="Times New Roman" w:cs="Arial"/>
                <w:sz w:val="20"/>
                <w:szCs w:val="20"/>
              </w:rPr>
              <w:t xml:space="preserve">) y JOMSA(Asociación Japonesa de Estrategia y Gestión de Operaciones) en Asia; Académicos </w:t>
            </w:r>
            <w:r w:rsidR="002019E0" w:rsidRPr="00817254">
              <w:rPr>
                <w:rFonts w:eastAsia="Times New Roman" w:cs="Arial"/>
                <w:sz w:val="20"/>
                <w:szCs w:val="20"/>
              </w:rPr>
              <w:t>y profesionales a nivel mundial</w:t>
            </w:r>
          </w:p>
        </w:tc>
      </w:tr>
      <w:tr w:rsidR="00E65452" w:rsidRPr="00817254" w14:paraId="02B5D15C" w14:textId="77777777" w:rsidTr="00004539">
        <w:trPr>
          <w:trHeight w:val="1021"/>
        </w:trPr>
        <w:tc>
          <w:tcPr>
            <w:tcW w:w="820" w:type="dxa"/>
            <w:vMerge/>
            <w:tcBorders>
              <w:left w:val="single" w:sz="6" w:space="0" w:color="FFFFFF" w:themeColor="background1"/>
              <w:right w:val="single" w:sz="6" w:space="0" w:color="FFFFFF" w:themeColor="background1"/>
            </w:tcBorders>
            <w:vAlign w:val="center"/>
          </w:tcPr>
          <w:p w14:paraId="72DF0C7E"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1869" w:type="dxa"/>
            <w:vMerge/>
            <w:tcBorders>
              <w:left w:val="single" w:sz="6" w:space="0" w:color="FFFFFF" w:themeColor="background1"/>
              <w:right w:val="single" w:sz="6" w:space="0" w:color="FFFFFF" w:themeColor="background1"/>
            </w:tcBorders>
          </w:tcPr>
          <w:p w14:paraId="71EF2FD0" w14:textId="77777777" w:rsidR="00E65452" w:rsidRPr="00817254" w:rsidRDefault="00E65452" w:rsidP="002019E0">
            <w:pPr>
              <w:widowControl w:val="0"/>
              <w:pBdr>
                <w:top w:val="nil"/>
                <w:left w:val="nil"/>
                <w:bottom w:val="nil"/>
                <w:right w:val="nil"/>
                <w:between w:val="nil"/>
              </w:pBdr>
              <w:rPr>
                <w:rFonts w:eastAsia="Times New Roman" w:cs="Arial"/>
                <w:sz w:val="20"/>
                <w:szCs w:val="20"/>
              </w:rPr>
            </w:pPr>
          </w:p>
        </w:tc>
        <w:tc>
          <w:tcPr>
            <w:tcW w:w="708" w:type="dxa"/>
            <w:tcBorders>
              <w:top w:val="single" w:sz="4" w:space="0" w:color="FFFFFF" w:themeColor="background1"/>
              <w:left w:val="single" w:sz="6" w:space="0" w:color="FFFFFF" w:themeColor="background1"/>
              <w:right w:val="single" w:sz="6" w:space="0" w:color="FFFFFF" w:themeColor="background1"/>
            </w:tcBorders>
            <w:vAlign w:val="center"/>
          </w:tcPr>
          <w:p w14:paraId="000A4104" w14:textId="77777777" w:rsidR="00E65452" w:rsidRPr="00817254" w:rsidRDefault="00E65452" w:rsidP="002019E0">
            <w:pPr>
              <w:jc w:val="center"/>
              <w:rPr>
                <w:rFonts w:eastAsia="Times New Roman" w:cs="Arial"/>
                <w:color w:val="000000"/>
                <w:sz w:val="20"/>
                <w:szCs w:val="20"/>
                <w:highlight w:val="white"/>
              </w:rPr>
            </w:pPr>
            <w:r w:rsidRPr="00817254">
              <w:rPr>
                <w:rFonts w:eastAsia="Times New Roman" w:cs="Arial"/>
                <w:sz w:val="20"/>
                <w:szCs w:val="20"/>
              </w:rPr>
              <w:t>4</w:t>
            </w:r>
          </w:p>
        </w:tc>
        <w:tc>
          <w:tcPr>
            <w:tcW w:w="5783" w:type="dxa"/>
            <w:tcBorders>
              <w:top w:val="single" w:sz="4" w:space="0" w:color="FFFFFF" w:themeColor="background1"/>
              <w:left w:val="single" w:sz="6" w:space="0" w:color="FFFFFF" w:themeColor="background1"/>
              <w:right w:val="single" w:sz="6" w:space="0" w:color="FFFFFF" w:themeColor="background1"/>
            </w:tcBorders>
          </w:tcPr>
          <w:p w14:paraId="246CF312" w14:textId="426F057B" w:rsidR="00E65452" w:rsidRPr="00817254" w:rsidRDefault="00E65452" w:rsidP="002019E0">
            <w:pPr>
              <w:spacing w:after="0"/>
              <w:rPr>
                <w:rFonts w:eastAsia="Times New Roman" w:cs="Arial"/>
                <w:sz w:val="20"/>
                <w:szCs w:val="20"/>
              </w:rPr>
            </w:pPr>
            <w:r w:rsidRPr="00817254">
              <w:rPr>
                <w:rFonts w:eastAsia="Times New Roman" w:cs="Arial"/>
                <w:sz w:val="20"/>
                <w:szCs w:val="20"/>
              </w:rPr>
              <w:t xml:space="preserve">Reunión anual en las Asambleas Generales Anuales (AGM) celebradas en la Conferencia Anual Internacional de </w:t>
            </w:r>
            <w:proofErr w:type="spellStart"/>
            <w:r w:rsidRPr="00817254">
              <w:rPr>
                <w:rFonts w:eastAsia="Times New Roman" w:cs="Arial"/>
                <w:sz w:val="20"/>
                <w:szCs w:val="20"/>
              </w:rPr>
              <w:t>EurOMA</w:t>
            </w:r>
            <w:proofErr w:type="spellEnd"/>
            <w:r w:rsidRPr="00817254">
              <w:rPr>
                <w:rFonts w:eastAsia="Times New Roman" w:cs="Arial"/>
                <w:sz w:val="20"/>
                <w:szCs w:val="20"/>
              </w:rPr>
              <w:t xml:space="preserve"> también sirve como foro principal para que la Junta comunique los desarrollos y deci</w:t>
            </w:r>
            <w:r w:rsidR="002019E0" w:rsidRPr="00817254">
              <w:rPr>
                <w:rFonts w:eastAsia="Times New Roman" w:cs="Arial"/>
                <w:sz w:val="20"/>
                <w:szCs w:val="20"/>
              </w:rPr>
              <w:t>siones recientes a los miembros</w:t>
            </w:r>
          </w:p>
        </w:tc>
      </w:tr>
    </w:tbl>
    <w:p w14:paraId="7AAA5417" w14:textId="77777777" w:rsidR="00D74E2F" w:rsidRDefault="00D74E2F" w:rsidP="00803B67">
      <w:pPr>
        <w:autoSpaceDE w:val="0"/>
        <w:autoSpaceDN w:val="0"/>
        <w:adjustRightInd w:val="0"/>
        <w:spacing w:before="240"/>
        <w:rPr>
          <w:rFonts w:eastAsia="Calibri" w:cs="Arial"/>
          <w:b/>
          <w:bCs/>
          <w:lang w:val="es-EC"/>
        </w:rPr>
      </w:pPr>
    </w:p>
    <w:p w14:paraId="2FAD3A96" w14:textId="3DE7A4CE" w:rsidR="00803B67" w:rsidRPr="00817254" w:rsidRDefault="005B6951" w:rsidP="00803B67">
      <w:pPr>
        <w:autoSpaceDE w:val="0"/>
        <w:autoSpaceDN w:val="0"/>
        <w:adjustRightInd w:val="0"/>
        <w:spacing w:before="240"/>
        <w:rPr>
          <w:rFonts w:eastAsia="Calibri" w:cs="Arial"/>
          <w:b/>
          <w:bCs/>
          <w:lang w:val="es-EC"/>
        </w:rPr>
      </w:pPr>
      <w:r w:rsidRPr="00817254">
        <w:rPr>
          <w:rFonts w:eastAsia="Calibri" w:cs="Arial"/>
          <w:b/>
          <w:bCs/>
          <w:lang w:val="es-EC"/>
        </w:rPr>
        <w:lastRenderedPageBreak/>
        <w:t>CONCLUSIONES</w:t>
      </w:r>
    </w:p>
    <w:p w14:paraId="7936C3EB" w14:textId="350795B6" w:rsidR="007711AF" w:rsidRPr="00817254" w:rsidRDefault="007711AF" w:rsidP="007711AF">
      <w:pPr>
        <w:spacing w:after="0"/>
        <w:rPr>
          <w:rFonts w:eastAsia="Times New Roman" w:cs="Arial"/>
        </w:rPr>
      </w:pPr>
      <w:r w:rsidRPr="00817254">
        <w:rPr>
          <w:rFonts w:eastAsia="Times New Roman" w:cs="Arial"/>
        </w:rPr>
        <w:t>De acuerdo al análisis de las diferentes metodologías y lineamientos que se estructuran en base a las experiencias de Comunidades de Práctica y Aprendizaje en instituciones educativas,  podemos observar el claro compromiso e iniciativa que los integrantes de estos grupos pueden proyectar para el sostenimiento, ampliación y fortalecimiento de las redes que conforman dichas comunidades, afianzando en la innovación de estrategias que permiten reformar o afianzar en el avance de transmisión y tratamiento del conocimiento aunado a las habilidades que se puedan aportar en las diferentes gestiones académicas y organizacionales.</w:t>
      </w:r>
    </w:p>
    <w:p w14:paraId="3C7BDB7E" w14:textId="77777777" w:rsidR="007711AF" w:rsidRPr="00817254" w:rsidRDefault="007711AF" w:rsidP="007711AF">
      <w:pPr>
        <w:spacing w:after="0"/>
        <w:ind w:firstLine="567"/>
        <w:rPr>
          <w:rFonts w:eastAsia="Times New Roman" w:cs="Arial"/>
        </w:rPr>
      </w:pPr>
      <w:r w:rsidRPr="00817254">
        <w:rPr>
          <w:rFonts w:eastAsia="Times New Roman" w:cs="Arial"/>
        </w:rPr>
        <w:t xml:space="preserve">Por otra parte, se puede deducir que el intercambio de estas habilidades de conocimientos se puede efectuar en ambientes presenciales y como un reto a la nueva revolución en ambientes virtuales, lo que permite una interacción e intercambios de conocimientos de manera más práctica y ágil a través de plataformas, como lo demuestran diferentes </w:t>
      </w:r>
      <w:proofErr w:type="spellStart"/>
      <w:r w:rsidRPr="00817254">
        <w:rPr>
          <w:rFonts w:eastAsia="Times New Roman" w:cs="Arial"/>
        </w:rPr>
        <w:t>VCoP</w:t>
      </w:r>
      <w:proofErr w:type="spellEnd"/>
      <w:r w:rsidRPr="00817254">
        <w:rPr>
          <w:rFonts w:eastAsia="Times New Roman" w:cs="Arial"/>
        </w:rPr>
        <w:t xml:space="preserve"> que aprovechan las mediaciones tecnológicas para la exploración del conocimiento tácito en las organizaciones.</w:t>
      </w:r>
    </w:p>
    <w:p w14:paraId="7D72652E" w14:textId="441C8C76" w:rsidR="007711AF" w:rsidRPr="00817254" w:rsidRDefault="007711AF" w:rsidP="007711AF">
      <w:pPr>
        <w:spacing w:after="0"/>
        <w:ind w:firstLine="567"/>
        <w:rPr>
          <w:rFonts w:eastAsia="Times New Roman" w:cs="Arial"/>
        </w:rPr>
      </w:pPr>
      <w:r w:rsidRPr="00817254">
        <w:rPr>
          <w:rFonts w:eastAsia="Times New Roman" w:cs="Arial"/>
        </w:rPr>
        <w:t xml:space="preserve">Adicionalmente, la dinámica de fortalecer líneas de acción en las </w:t>
      </w:r>
      <w:proofErr w:type="spellStart"/>
      <w:r w:rsidRPr="00817254">
        <w:rPr>
          <w:rFonts w:eastAsia="Times New Roman" w:cs="Arial"/>
        </w:rPr>
        <w:t>CoP</w:t>
      </w:r>
      <w:proofErr w:type="spellEnd"/>
      <w:r w:rsidRPr="00817254">
        <w:rPr>
          <w:rFonts w:eastAsia="Times New Roman" w:cs="Arial"/>
        </w:rPr>
        <w:t xml:space="preserve"> / </w:t>
      </w:r>
      <w:proofErr w:type="spellStart"/>
      <w:r w:rsidRPr="00817254">
        <w:rPr>
          <w:rFonts w:eastAsia="Times New Roman" w:cs="Arial"/>
        </w:rPr>
        <w:t>VCoP</w:t>
      </w:r>
      <w:proofErr w:type="spellEnd"/>
      <w:r w:rsidRPr="00817254">
        <w:rPr>
          <w:rFonts w:eastAsia="Times New Roman" w:cs="Arial"/>
        </w:rPr>
        <w:t xml:space="preserve"> fomentan el valor, desde la evaluación y toma de decisiones estratégicas, haciendo un seguimiento explícito de los grupos, de lo anterior depende el éxito y el crecimiento de la comunidad, atraer estas dinámicas que aumentan la capacidad de soportar y administrar la constitución de dichas redes conformadas, en la actualidad la intención de mantener </w:t>
      </w:r>
      <w:proofErr w:type="spellStart"/>
      <w:r w:rsidRPr="00817254">
        <w:rPr>
          <w:rFonts w:eastAsia="Times New Roman" w:cs="Arial"/>
        </w:rPr>
        <w:t>CoP</w:t>
      </w:r>
      <w:proofErr w:type="spellEnd"/>
      <w:r w:rsidRPr="00817254">
        <w:rPr>
          <w:rFonts w:eastAsia="Times New Roman" w:cs="Arial"/>
        </w:rPr>
        <w:t>, se quedan en expectativa o en proceso de gestión, pues  la dinámica y la constancia pierden su valor, por tal razón la cadena para de estas comunidades deben ser imperiosos y con proyectos de gran  alcance pedagógico, social, cultural y educativo.</w:t>
      </w:r>
    </w:p>
    <w:p w14:paraId="31DDD830" w14:textId="77777777" w:rsidR="007711AF" w:rsidRPr="00817254" w:rsidRDefault="007711AF" w:rsidP="007711AF">
      <w:pPr>
        <w:spacing w:after="0"/>
        <w:ind w:firstLine="567"/>
        <w:rPr>
          <w:rFonts w:eastAsia="Times New Roman" w:cs="Arial"/>
        </w:rPr>
      </w:pPr>
      <w:r w:rsidRPr="00817254">
        <w:rPr>
          <w:rFonts w:eastAsia="Times New Roman" w:cs="Arial"/>
        </w:rPr>
        <w:t xml:space="preserve">En cuanto a la construcción de redes mencionados y abordados en el análisis de literatura, se debe destacar los alcances informáticos y las posibilidades de cotejar estos ambientes de aprendizaje presenciales y virtuales fuertemente establecidas y administradas con una comunicación constante y disciplinada por los integrantes, proyectando investigación y gestión del conocimiento, motivando crecimiento de las </w:t>
      </w:r>
      <w:proofErr w:type="spellStart"/>
      <w:r w:rsidRPr="00817254">
        <w:rPr>
          <w:rFonts w:eastAsia="Times New Roman" w:cs="Arial"/>
        </w:rPr>
        <w:t>CoP</w:t>
      </w:r>
      <w:proofErr w:type="spellEnd"/>
      <w:r w:rsidRPr="00817254">
        <w:rPr>
          <w:rFonts w:eastAsia="Times New Roman" w:cs="Arial"/>
        </w:rPr>
        <w:t xml:space="preserve"> / </w:t>
      </w:r>
      <w:proofErr w:type="spellStart"/>
      <w:r w:rsidRPr="00817254">
        <w:rPr>
          <w:rFonts w:eastAsia="Times New Roman" w:cs="Arial"/>
        </w:rPr>
        <w:t>VCoP</w:t>
      </w:r>
      <w:proofErr w:type="spellEnd"/>
      <w:r w:rsidRPr="00817254">
        <w:rPr>
          <w:rFonts w:eastAsia="Times New Roman" w:cs="Arial"/>
        </w:rPr>
        <w:t xml:space="preserve">, por lo tanto, la construcción de dichas comunidades debe ser formulada como desde los modelos pedagógicos, incluir colaboración internacional, caracterizarse por su dominio, constitución y potencial para soportar la implementación de metodologías activas y la formación de docentes. </w:t>
      </w:r>
    </w:p>
    <w:p w14:paraId="0379E307" w14:textId="77777777" w:rsidR="007711AF" w:rsidRPr="00817254" w:rsidRDefault="007711AF" w:rsidP="007711AF">
      <w:pPr>
        <w:spacing w:after="0"/>
        <w:ind w:firstLine="567"/>
        <w:rPr>
          <w:rFonts w:eastAsia="Times New Roman" w:cs="Arial"/>
        </w:rPr>
      </w:pPr>
      <w:r w:rsidRPr="00817254">
        <w:rPr>
          <w:rFonts w:eastAsia="Times New Roman" w:cs="Arial"/>
        </w:rPr>
        <w:t xml:space="preserve">Finalmente, se catalogan diferentes estrategias aplicadas a este tipo de comunidades de práctica y aprendizaje, en constituir habilidades que permitan metodologías y perspectivas de sostenimiento con una comunicación en línea afianzando el uso de la tecnología para el alcance de una información de alta calidad, construyendo confianza y motivación, puesto que el conocimiento no se debe archivar como un enriquecimiento personal sino valorarlo, transmitirlo y tratarlo con y para los demás participantes que permita la integración del personal periférico en el aprendizaje organizacional y finalmente, tener una ventaja diferencial. </w:t>
      </w:r>
    </w:p>
    <w:p w14:paraId="6C14E8E0" w14:textId="77777777" w:rsidR="007711AF" w:rsidRPr="00817254" w:rsidRDefault="007711AF" w:rsidP="007711AF">
      <w:pPr>
        <w:spacing w:after="0"/>
        <w:rPr>
          <w:rFonts w:eastAsia="Times New Roman" w:cs="Arial"/>
        </w:rPr>
      </w:pPr>
    </w:p>
    <w:p w14:paraId="3020EFB5" w14:textId="788A01FE" w:rsidR="005B6951" w:rsidRPr="00817254" w:rsidRDefault="005B6951" w:rsidP="00803B67">
      <w:pPr>
        <w:autoSpaceDE w:val="0"/>
        <w:autoSpaceDN w:val="0"/>
        <w:adjustRightInd w:val="0"/>
        <w:rPr>
          <w:rFonts w:eastAsia="Calibri" w:cs="Arial"/>
          <w:lang w:val="es-EC"/>
        </w:rPr>
      </w:pPr>
      <w:r w:rsidRPr="00817254">
        <w:rPr>
          <w:rFonts w:eastAsia="Calibri" w:cs="Arial"/>
          <w:b/>
          <w:bCs/>
          <w:lang w:val="es-EC"/>
        </w:rPr>
        <w:t>REFERENCIAS BIBLIOGRÁFICAS</w:t>
      </w:r>
    </w:p>
    <w:p w14:paraId="5A61B91A" w14:textId="3B81C25D" w:rsidR="007711AF" w:rsidRPr="00817254" w:rsidRDefault="007711AF" w:rsidP="007711AF">
      <w:pPr>
        <w:spacing w:after="0"/>
        <w:ind w:left="709" w:hanging="709"/>
        <w:rPr>
          <w:rFonts w:eastAsia="Calibri" w:cs="Arial"/>
          <w:lang w:val="en-US"/>
        </w:rPr>
      </w:pPr>
      <w:proofErr w:type="spellStart"/>
      <w:r w:rsidRPr="00817254">
        <w:rPr>
          <w:rFonts w:eastAsia="Calibri" w:cs="Arial"/>
          <w:lang w:val="es-EC"/>
        </w:rPr>
        <w:t>Akinyemi</w:t>
      </w:r>
      <w:proofErr w:type="spellEnd"/>
      <w:r w:rsidRPr="00817254">
        <w:rPr>
          <w:rFonts w:eastAsia="Calibri" w:cs="Arial"/>
          <w:lang w:val="es-EC"/>
        </w:rPr>
        <w:t xml:space="preserve">, A. F., </w:t>
      </w:r>
      <w:proofErr w:type="spellStart"/>
      <w:r w:rsidRPr="00817254">
        <w:rPr>
          <w:rFonts w:eastAsia="Calibri" w:cs="Arial"/>
          <w:lang w:val="es-EC"/>
        </w:rPr>
        <w:t>Rembe</w:t>
      </w:r>
      <w:proofErr w:type="spellEnd"/>
      <w:r w:rsidRPr="00817254">
        <w:rPr>
          <w:rFonts w:eastAsia="Calibri" w:cs="Arial"/>
          <w:lang w:val="es-EC"/>
        </w:rPr>
        <w:t xml:space="preserve">, S., </w:t>
      </w:r>
      <w:proofErr w:type="spellStart"/>
      <w:r w:rsidRPr="00817254">
        <w:rPr>
          <w:rFonts w:eastAsia="Calibri" w:cs="Arial"/>
          <w:lang w:val="es-EC"/>
        </w:rPr>
        <w:t>Shumba</w:t>
      </w:r>
      <w:proofErr w:type="spellEnd"/>
      <w:r w:rsidRPr="00817254">
        <w:rPr>
          <w:rFonts w:eastAsia="Calibri" w:cs="Arial"/>
          <w:lang w:val="es-EC"/>
        </w:rPr>
        <w:t xml:space="preserve">, J., &amp; </w:t>
      </w:r>
      <w:proofErr w:type="spellStart"/>
      <w:r w:rsidRPr="00817254">
        <w:rPr>
          <w:rFonts w:eastAsia="Calibri" w:cs="Arial"/>
          <w:lang w:val="es-EC"/>
        </w:rPr>
        <w:t>Adewumi</w:t>
      </w:r>
      <w:proofErr w:type="spellEnd"/>
      <w:r w:rsidRPr="00817254">
        <w:rPr>
          <w:rFonts w:eastAsia="Calibri" w:cs="Arial"/>
          <w:lang w:val="es-EC"/>
        </w:rPr>
        <w:t xml:space="preserve">, T. M. (2019). </w:t>
      </w:r>
      <w:r w:rsidRPr="00817254">
        <w:rPr>
          <w:rFonts w:eastAsia="Calibri" w:cs="Arial"/>
          <w:lang w:val="en-US"/>
        </w:rPr>
        <w:t xml:space="preserve">Collaboration and mutual support as processes established by communities of practice to improve continuing professional teachers’ development in high schools. Cogent Education, 6(1). </w:t>
      </w:r>
      <w:hyperlink r:id="rId10" w:history="1">
        <w:r w:rsidR="002019E0" w:rsidRPr="00817254">
          <w:rPr>
            <w:rStyle w:val="Hipervnculo"/>
            <w:rFonts w:eastAsia="Calibri" w:cs="Arial"/>
            <w:u w:val="none"/>
            <w:lang w:val="en-US"/>
          </w:rPr>
          <w:t>https://doi.org/10.1080/2331186X.2019.1685446</w:t>
        </w:r>
      </w:hyperlink>
      <w:r w:rsidR="002019E0" w:rsidRPr="00817254">
        <w:rPr>
          <w:rFonts w:eastAsia="Calibri" w:cs="Arial"/>
          <w:lang w:val="en-US"/>
        </w:rPr>
        <w:t xml:space="preserve"> </w:t>
      </w:r>
    </w:p>
    <w:p w14:paraId="72071061" w14:textId="24EE583A" w:rsidR="007711AF" w:rsidRPr="00817254" w:rsidRDefault="007711AF" w:rsidP="007711AF">
      <w:pPr>
        <w:spacing w:after="0"/>
        <w:ind w:left="709" w:hanging="709"/>
        <w:rPr>
          <w:rFonts w:eastAsia="Calibri" w:cs="Arial"/>
          <w:lang w:val="en-US"/>
        </w:rPr>
      </w:pPr>
      <w:r w:rsidRPr="00817254">
        <w:rPr>
          <w:rFonts w:eastAsia="Calibri" w:cs="Arial"/>
          <w:lang w:val="en-US"/>
        </w:rPr>
        <w:t>Al-</w:t>
      </w:r>
      <w:proofErr w:type="spellStart"/>
      <w:r w:rsidRPr="00817254">
        <w:rPr>
          <w:rFonts w:eastAsia="Calibri" w:cs="Arial"/>
          <w:lang w:val="en-US"/>
        </w:rPr>
        <w:t>Shahrani</w:t>
      </w:r>
      <w:proofErr w:type="spellEnd"/>
      <w:r w:rsidRPr="00817254">
        <w:rPr>
          <w:rFonts w:eastAsia="Calibri" w:cs="Arial"/>
          <w:lang w:val="en-US"/>
        </w:rPr>
        <w:t xml:space="preserve">, F., &amp; Mohammad, H. (2014). Conceptual model of successful educational online community of practice for Kingdom of Saudi Arabia. International Journal of Emerging Technologies in Learning, 9(9), 4–10. </w:t>
      </w:r>
      <w:hyperlink r:id="rId11" w:history="1">
        <w:r w:rsidR="002019E0" w:rsidRPr="00817254">
          <w:rPr>
            <w:rStyle w:val="Hipervnculo"/>
            <w:rFonts w:eastAsia="Calibri" w:cs="Arial"/>
            <w:u w:val="none"/>
            <w:lang w:val="en-US"/>
          </w:rPr>
          <w:t>https://doi.org/10.3991/ijet.v9i9.3864</w:t>
        </w:r>
      </w:hyperlink>
      <w:r w:rsidR="002019E0" w:rsidRPr="00817254">
        <w:rPr>
          <w:rFonts w:eastAsia="Calibri" w:cs="Arial"/>
          <w:lang w:val="en-US"/>
        </w:rPr>
        <w:t xml:space="preserve"> </w:t>
      </w:r>
    </w:p>
    <w:p w14:paraId="140C55B2" w14:textId="3FE0C563" w:rsidR="007711AF" w:rsidRPr="00817254" w:rsidRDefault="007711AF" w:rsidP="007711AF">
      <w:pPr>
        <w:spacing w:after="0"/>
        <w:ind w:left="709" w:hanging="709"/>
        <w:rPr>
          <w:rFonts w:eastAsia="Calibri" w:cs="Arial"/>
          <w:lang w:val="en-US"/>
        </w:rPr>
      </w:pPr>
      <w:r w:rsidRPr="00817254">
        <w:rPr>
          <w:rFonts w:eastAsia="Calibri" w:cs="Arial"/>
          <w:lang w:val="en-US"/>
        </w:rPr>
        <w:t xml:space="preserve">Auer, A. M., Hanson, P., Brady-Fryer, B., </w:t>
      </w:r>
      <w:proofErr w:type="spellStart"/>
      <w:r w:rsidRPr="00817254">
        <w:rPr>
          <w:rFonts w:eastAsia="Calibri" w:cs="Arial"/>
          <w:lang w:val="en-US"/>
        </w:rPr>
        <w:t>Alati</w:t>
      </w:r>
      <w:proofErr w:type="spellEnd"/>
      <w:r w:rsidRPr="00817254">
        <w:rPr>
          <w:rFonts w:eastAsia="Calibri" w:cs="Arial"/>
          <w:lang w:val="en-US"/>
        </w:rPr>
        <w:t xml:space="preserve">-It, J., &amp; Johnson, A. L. (2020). Communities of practice in Alberta Health Services: Advancing a learning </w:t>
      </w:r>
      <w:proofErr w:type="spellStart"/>
      <w:r w:rsidRPr="00817254">
        <w:rPr>
          <w:rFonts w:eastAsia="Calibri" w:cs="Arial"/>
          <w:lang w:val="en-US"/>
        </w:rPr>
        <w:t>organisation</w:t>
      </w:r>
      <w:proofErr w:type="spellEnd"/>
      <w:r w:rsidRPr="00817254">
        <w:rPr>
          <w:rFonts w:eastAsia="Calibri" w:cs="Arial"/>
          <w:lang w:val="en-US"/>
        </w:rPr>
        <w:t xml:space="preserve">. Health Research Policy and Systems, 18(1). </w:t>
      </w:r>
      <w:hyperlink r:id="rId12" w:history="1">
        <w:r w:rsidR="002019E0" w:rsidRPr="00817254">
          <w:rPr>
            <w:rStyle w:val="Hipervnculo"/>
            <w:rFonts w:eastAsia="Calibri" w:cs="Arial"/>
            <w:u w:val="none"/>
            <w:lang w:val="en-US"/>
          </w:rPr>
          <w:t>https://doi.org/10.1186/s12961-020-00603-y</w:t>
        </w:r>
      </w:hyperlink>
      <w:r w:rsidR="002019E0" w:rsidRPr="00817254">
        <w:rPr>
          <w:rFonts w:eastAsia="Calibri" w:cs="Arial"/>
          <w:lang w:val="en-US"/>
        </w:rPr>
        <w:t xml:space="preserve"> </w:t>
      </w:r>
    </w:p>
    <w:p w14:paraId="38405C44" w14:textId="4F7F04CA" w:rsidR="007711AF" w:rsidRPr="00817254" w:rsidRDefault="007711AF" w:rsidP="007711AF">
      <w:pPr>
        <w:spacing w:after="0"/>
        <w:ind w:left="709" w:hanging="709"/>
        <w:rPr>
          <w:rFonts w:eastAsia="Calibri" w:cs="Arial"/>
          <w:lang w:val="en-US"/>
        </w:rPr>
      </w:pPr>
      <w:r w:rsidRPr="00817254">
        <w:rPr>
          <w:rFonts w:eastAsia="Calibri" w:cs="Arial"/>
          <w:lang w:val="en-US"/>
        </w:rPr>
        <w:lastRenderedPageBreak/>
        <w:t xml:space="preserve">Austin, E. J., </w:t>
      </w:r>
      <w:proofErr w:type="spellStart"/>
      <w:r w:rsidRPr="00817254">
        <w:rPr>
          <w:rFonts w:eastAsia="Calibri" w:cs="Arial"/>
          <w:lang w:val="en-US"/>
        </w:rPr>
        <w:t>LeRouge</w:t>
      </w:r>
      <w:proofErr w:type="spellEnd"/>
      <w:r w:rsidRPr="00817254">
        <w:rPr>
          <w:rFonts w:eastAsia="Calibri" w:cs="Arial"/>
          <w:lang w:val="en-US"/>
        </w:rPr>
        <w:t xml:space="preserve">, C., Lee, J. R., Segal, C., </w:t>
      </w:r>
      <w:proofErr w:type="spellStart"/>
      <w:r w:rsidRPr="00817254">
        <w:rPr>
          <w:rFonts w:eastAsia="Calibri" w:cs="Arial"/>
          <w:lang w:val="en-US"/>
        </w:rPr>
        <w:t>Sangameswaran</w:t>
      </w:r>
      <w:proofErr w:type="spellEnd"/>
      <w:r w:rsidRPr="00817254">
        <w:rPr>
          <w:rFonts w:eastAsia="Calibri" w:cs="Arial"/>
          <w:lang w:val="en-US"/>
        </w:rPr>
        <w:t xml:space="preserve">, S., Heim, J., </w:t>
      </w:r>
      <w:proofErr w:type="spellStart"/>
      <w:r w:rsidRPr="00817254">
        <w:rPr>
          <w:rFonts w:eastAsia="Calibri" w:cs="Arial"/>
          <w:lang w:val="en-US"/>
        </w:rPr>
        <w:t>Lober</w:t>
      </w:r>
      <w:proofErr w:type="spellEnd"/>
      <w:r w:rsidRPr="00817254">
        <w:rPr>
          <w:rFonts w:eastAsia="Calibri" w:cs="Arial"/>
          <w:lang w:val="en-US"/>
        </w:rPr>
        <w:t xml:space="preserve">, W. B., </w:t>
      </w:r>
      <w:proofErr w:type="spellStart"/>
      <w:r w:rsidRPr="00817254">
        <w:rPr>
          <w:rFonts w:eastAsia="Calibri" w:cs="Arial"/>
          <w:lang w:val="en-US"/>
        </w:rPr>
        <w:t>Hartzler</w:t>
      </w:r>
      <w:proofErr w:type="spellEnd"/>
      <w:r w:rsidRPr="00817254">
        <w:rPr>
          <w:rFonts w:eastAsia="Calibri" w:cs="Arial"/>
          <w:lang w:val="en-US"/>
        </w:rPr>
        <w:t xml:space="preserve">, A. L., &amp; </w:t>
      </w:r>
      <w:proofErr w:type="spellStart"/>
      <w:r w:rsidRPr="00817254">
        <w:rPr>
          <w:rFonts w:eastAsia="Calibri" w:cs="Arial"/>
          <w:lang w:val="en-US"/>
        </w:rPr>
        <w:t>Lavallee</w:t>
      </w:r>
      <w:proofErr w:type="spellEnd"/>
      <w:r w:rsidRPr="00817254">
        <w:rPr>
          <w:rFonts w:eastAsia="Calibri" w:cs="Arial"/>
          <w:lang w:val="en-US"/>
        </w:rPr>
        <w:t xml:space="preserve">, D. C. (2021). A learning health systems approach to integrating electronic patient-reported outcomes across the health care organization. Learning Health Systems, 5(4). </w:t>
      </w:r>
      <w:hyperlink r:id="rId13" w:history="1">
        <w:r w:rsidR="002019E0" w:rsidRPr="00817254">
          <w:rPr>
            <w:rStyle w:val="Hipervnculo"/>
            <w:rFonts w:eastAsia="Calibri" w:cs="Arial"/>
            <w:u w:val="none"/>
            <w:lang w:val="en-US"/>
          </w:rPr>
          <w:t>https://doi.org/10.1002/lrh2.10263</w:t>
        </w:r>
      </w:hyperlink>
      <w:r w:rsidR="002019E0" w:rsidRPr="00817254">
        <w:rPr>
          <w:rFonts w:eastAsia="Calibri" w:cs="Arial"/>
          <w:lang w:val="en-US"/>
        </w:rPr>
        <w:t xml:space="preserve"> </w:t>
      </w:r>
    </w:p>
    <w:p w14:paraId="182064F0" w14:textId="65EF4EB5"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Awah</w:t>
      </w:r>
      <w:proofErr w:type="spellEnd"/>
      <w:r w:rsidRPr="00817254">
        <w:rPr>
          <w:rFonts w:eastAsia="Calibri" w:cs="Arial"/>
          <w:lang w:val="en-US"/>
        </w:rPr>
        <w:t xml:space="preserve">, P. K., </w:t>
      </w:r>
      <w:proofErr w:type="spellStart"/>
      <w:r w:rsidRPr="00817254">
        <w:rPr>
          <w:rFonts w:eastAsia="Calibri" w:cs="Arial"/>
          <w:lang w:val="en-US"/>
        </w:rPr>
        <w:t>Boock</w:t>
      </w:r>
      <w:proofErr w:type="spellEnd"/>
      <w:r w:rsidRPr="00817254">
        <w:rPr>
          <w:rFonts w:eastAsia="Calibri" w:cs="Arial"/>
          <w:lang w:val="en-US"/>
        </w:rPr>
        <w:t xml:space="preserve">, A. U., </w:t>
      </w:r>
      <w:proofErr w:type="spellStart"/>
      <w:r w:rsidRPr="00817254">
        <w:rPr>
          <w:rFonts w:eastAsia="Calibri" w:cs="Arial"/>
          <w:lang w:val="en-US"/>
        </w:rPr>
        <w:t>Mou</w:t>
      </w:r>
      <w:proofErr w:type="spellEnd"/>
      <w:r w:rsidRPr="00817254">
        <w:rPr>
          <w:rFonts w:eastAsia="Calibri" w:cs="Arial"/>
          <w:lang w:val="en-US"/>
        </w:rPr>
        <w:t xml:space="preserve">, F., </w:t>
      </w:r>
      <w:proofErr w:type="spellStart"/>
      <w:r w:rsidRPr="00817254">
        <w:rPr>
          <w:rFonts w:eastAsia="Calibri" w:cs="Arial"/>
          <w:lang w:val="en-US"/>
        </w:rPr>
        <w:t>Koin</w:t>
      </w:r>
      <w:proofErr w:type="spellEnd"/>
      <w:r w:rsidRPr="00817254">
        <w:rPr>
          <w:rFonts w:eastAsia="Calibri" w:cs="Arial"/>
          <w:lang w:val="en-US"/>
        </w:rPr>
        <w:t xml:space="preserve">, J. T., </w:t>
      </w:r>
      <w:proofErr w:type="spellStart"/>
      <w:r w:rsidRPr="00817254">
        <w:rPr>
          <w:rFonts w:eastAsia="Calibri" w:cs="Arial"/>
          <w:lang w:val="en-US"/>
        </w:rPr>
        <w:t>Anye</w:t>
      </w:r>
      <w:proofErr w:type="spellEnd"/>
      <w:r w:rsidRPr="00817254">
        <w:rPr>
          <w:rFonts w:eastAsia="Calibri" w:cs="Arial"/>
          <w:lang w:val="en-US"/>
        </w:rPr>
        <w:t xml:space="preserve">, E. M., </w:t>
      </w:r>
      <w:proofErr w:type="spellStart"/>
      <w:r w:rsidRPr="00817254">
        <w:rPr>
          <w:rFonts w:eastAsia="Calibri" w:cs="Arial"/>
          <w:lang w:val="en-US"/>
        </w:rPr>
        <w:t>Noumen</w:t>
      </w:r>
      <w:proofErr w:type="spellEnd"/>
      <w:r w:rsidRPr="00817254">
        <w:rPr>
          <w:rFonts w:eastAsia="Calibri" w:cs="Arial"/>
          <w:lang w:val="en-US"/>
        </w:rPr>
        <w:t xml:space="preserve">, D., &amp; </w:t>
      </w:r>
      <w:proofErr w:type="spellStart"/>
      <w:r w:rsidRPr="00817254">
        <w:rPr>
          <w:rFonts w:eastAsia="Calibri" w:cs="Arial"/>
          <w:lang w:val="en-US"/>
        </w:rPr>
        <w:t>Nichter</w:t>
      </w:r>
      <w:proofErr w:type="spellEnd"/>
      <w:r w:rsidRPr="00817254">
        <w:rPr>
          <w:rFonts w:eastAsia="Calibri" w:cs="Arial"/>
          <w:lang w:val="en-US"/>
        </w:rPr>
        <w:t xml:space="preserve">, M. (2018). Developing a </w:t>
      </w:r>
      <w:proofErr w:type="spellStart"/>
      <w:r w:rsidRPr="00817254">
        <w:rPr>
          <w:rFonts w:eastAsia="Calibri" w:cs="Arial"/>
          <w:lang w:val="en-US"/>
        </w:rPr>
        <w:t>Buruli</w:t>
      </w:r>
      <w:proofErr w:type="spellEnd"/>
      <w:r w:rsidRPr="00817254">
        <w:rPr>
          <w:rFonts w:eastAsia="Calibri" w:cs="Arial"/>
          <w:lang w:val="en-US"/>
        </w:rPr>
        <w:t xml:space="preserve"> ulcer community of practice in </w:t>
      </w:r>
      <w:proofErr w:type="spellStart"/>
      <w:r w:rsidRPr="00817254">
        <w:rPr>
          <w:rFonts w:eastAsia="Calibri" w:cs="Arial"/>
          <w:lang w:val="en-US"/>
        </w:rPr>
        <w:t>Bankim</w:t>
      </w:r>
      <w:proofErr w:type="spellEnd"/>
      <w:r w:rsidRPr="00817254">
        <w:rPr>
          <w:rFonts w:eastAsia="Calibri" w:cs="Arial"/>
          <w:lang w:val="en-US"/>
        </w:rPr>
        <w:t xml:space="preserve">, Cameroon: A model for </w:t>
      </w:r>
      <w:proofErr w:type="spellStart"/>
      <w:r w:rsidRPr="00817254">
        <w:rPr>
          <w:rFonts w:eastAsia="Calibri" w:cs="Arial"/>
          <w:lang w:val="en-US"/>
        </w:rPr>
        <w:t>Buruli</w:t>
      </w:r>
      <w:proofErr w:type="spellEnd"/>
      <w:r w:rsidRPr="00817254">
        <w:rPr>
          <w:rFonts w:eastAsia="Calibri" w:cs="Arial"/>
          <w:lang w:val="en-US"/>
        </w:rPr>
        <w:t xml:space="preserve"> ulcer outreach in Africa. </w:t>
      </w:r>
      <w:proofErr w:type="spellStart"/>
      <w:r w:rsidRPr="00817254">
        <w:rPr>
          <w:rFonts w:eastAsia="Calibri" w:cs="Arial"/>
          <w:lang w:val="en-US"/>
        </w:rPr>
        <w:t>PLoS</w:t>
      </w:r>
      <w:proofErr w:type="spellEnd"/>
      <w:r w:rsidRPr="00817254">
        <w:rPr>
          <w:rFonts w:eastAsia="Calibri" w:cs="Arial"/>
          <w:lang w:val="en-US"/>
        </w:rPr>
        <w:t xml:space="preserve"> Neglected Tropical Diseases, 12(3). </w:t>
      </w:r>
      <w:hyperlink r:id="rId14" w:history="1">
        <w:r w:rsidR="002019E0" w:rsidRPr="00817254">
          <w:rPr>
            <w:rStyle w:val="Hipervnculo"/>
            <w:rFonts w:eastAsia="Calibri" w:cs="Arial"/>
            <w:u w:val="none"/>
            <w:lang w:val="en-US"/>
          </w:rPr>
          <w:t>https://doi.org/10.1371/journal.pntd.0006238</w:t>
        </w:r>
      </w:hyperlink>
      <w:r w:rsidR="002019E0" w:rsidRPr="00817254">
        <w:rPr>
          <w:rFonts w:eastAsia="Calibri" w:cs="Arial"/>
          <w:lang w:val="en-US"/>
        </w:rPr>
        <w:t xml:space="preserve"> </w:t>
      </w:r>
    </w:p>
    <w:p w14:paraId="2DCD0290" w14:textId="0E16C842" w:rsidR="007711AF" w:rsidRPr="00817254" w:rsidRDefault="007711AF" w:rsidP="007711AF">
      <w:pPr>
        <w:spacing w:after="0"/>
        <w:ind w:left="709" w:hanging="709"/>
        <w:rPr>
          <w:rFonts w:eastAsia="Calibri" w:cs="Arial"/>
          <w:lang w:val="en-US"/>
        </w:rPr>
      </w:pPr>
      <w:r w:rsidRPr="00817254">
        <w:rPr>
          <w:rFonts w:eastAsia="Calibri" w:cs="Arial"/>
          <w:lang w:val="en-US"/>
        </w:rPr>
        <w:t xml:space="preserve">Barnett, S., Jones, S. C., Bennett, S., Iverson, D., &amp; Robinson, L. (2016). A virtual community of practice for general practice training: A </w:t>
      </w:r>
      <w:proofErr w:type="spellStart"/>
      <w:r w:rsidRPr="00817254">
        <w:rPr>
          <w:rFonts w:eastAsia="Calibri" w:cs="Arial"/>
          <w:lang w:val="en-US"/>
        </w:rPr>
        <w:t>preimplementation</w:t>
      </w:r>
      <w:proofErr w:type="spellEnd"/>
      <w:r w:rsidRPr="00817254">
        <w:rPr>
          <w:rFonts w:eastAsia="Calibri" w:cs="Arial"/>
          <w:lang w:val="en-US"/>
        </w:rPr>
        <w:t xml:space="preserve"> survey. In JMIR Medical Education (Vol. 2, Issue 2). JMIR Publications Inc. </w:t>
      </w:r>
      <w:hyperlink r:id="rId15" w:history="1">
        <w:r w:rsidR="002019E0" w:rsidRPr="00817254">
          <w:rPr>
            <w:rStyle w:val="Hipervnculo"/>
            <w:rFonts w:eastAsia="Calibri" w:cs="Arial"/>
            <w:u w:val="none"/>
            <w:lang w:val="en-US"/>
          </w:rPr>
          <w:t>https://doi.org/10.2196/mededu.5318</w:t>
        </w:r>
      </w:hyperlink>
      <w:r w:rsidR="002019E0" w:rsidRPr="00817254">
        <w:rPr>
          <w:rFonts w:eastAsia="Calibri" w:cs="Arial"/>
          <w:lang w:val="en-US"/>
        </w:rPr>
        <w:t xml:space="preserve"> </w:t>
      </w:r>
    </w:p>
    <w:p w14:paraId="2CE80AB5" w14:textId="304CCD0A" w:rsidR="007711AF" w:rsidRPr="00817254" w:rsidRDefault="007711AF" w:rsidP="007711AF">
      <w:pPr>
        <w:spacing w:after="0"/>
        <w:ind w:left="709" w:hanging="709"/>
        <w:rPr>
          <w:rFonts w:eastAsia="Calibri" w:cs="Arial"/>
          <w:lang w:val="es-EC"/>
        </w:rPr>
      </w:pPr>
      <w:r w:rsidRPr="00817254">
        <w:rPr>
          <w:rFonts w:eastAsia="Calibri" w:cs="Arial"/>
          <w:lang w:val="es-EC"/>
        </w:rPr>
        <w:t xml:space="preserve">Barrero Fernández, B., Segovia, J. D., &amp; de Dios Fernández Gálvez, J. (2020). Liderazgo intermedio y desarrollo de comunidades de práctica profesional: Lecciones emergentes de un estudio de caso </w:t>
      </w:r>
      <w:proofErr w:type="spellStart"/>
      <w:r w:rsidRPr="00817254">
        <w:rPr>
          <w:rFonts w:eastAsia="Calibri" w:cs="Arial"/>
          <w:lang w:val="es-EC"/>
        </w:rPr>
        <w:t>Middle</w:t>
      </w:r>
      <w:proofErr w:type="spellEnd"/>
      <w:r w:rsidRPr="00817254">
        <w:rPr>
          <w:rFonts w:eastAsia="Calibri" w:cs="Arial"/>
          <w:lang w:val="es-EC"/>
        </w:rPr>
        <w:t xml:space="preserve"> </w:t>
      </w:r>
      <w:proofErr w:type="spellStart"/>
      <w:r w:rsidRPr="00817254">
        <w:rPr>
          <w:rFonts w:eastAsia="Calibri" w:cs="Arial"/>
          <w:lang w:val="es-EC"/>
        </w:rPr>
        <w:t>leadership</w:t>
      </w:r>
      <w:proofErr w:type="spellEnd"/>
      <w:r w:rsidRPr="00817254">
        <w:rPr>
          <w:rFonts w:eastAsia="Calibri" w:cs="Arial"/>
          <w:lang w:val="es-EC"/>
        </w:rPr>
        <w:t xml:space="preserve"> and </w:t>
      </w:r>
      <w:proofErr w:type="spellStart"/>
      <w:r w:rsidRPr="00817254">
        <w:rPr>
          <w:rFonts w:eastAsia="Calibri" w:cs="Arial"/>
          <w:lang w:val="es-EC"/>
        </w:rPr>
        <w:t>communities</w:t>
      </w:r>
      <w:proofErr w:type="spellEnd"/>
      <w:r w:rsidRPr="00817254">
        <w:rPr>
          <w:rFonts w:eastAsia="Calibri" w:cs="Arial"/>
          <w:lang w:val="es-EC"/>
        </w:rPr>
        <w:t xml:space="preserve"> </w:t>
      </w:r>
      <w:proofErr w:type="spellStart"/>
      <w:r w:rsidRPr="00817254">
        <w:rPr>
          <w:rFonts w:eastAsia="Calibri" w:cs="Arial"/>
          <w:lang w:val="es-EC"/>
        </w:rPr>
        <w:t>practice</w:t>
      </w:r>
      <w:proofErr w:type="spellEnd"/>
      <w:r w:rsidRPr="00817254">
        <w:rPr>
          <w:rFonts w:eastAsia="Calibri" w:cs="Arial"/>
          <w:lang w:val="es-EC"/>
        </w:rPr>
        <w:t xml:space="preserve">: </w:t>
      </w:r>
      <w:proofErr w:type="spellStart"/>
      <w:r w:rsidRPr="00817254">
        <w:rPr>
          <w:rFonts w:eastAsia="Calibri" w:cs="Arial"/>
          <w:lang w:val="es-EC"/>
        </w:rPr>
        <w:t>Emerging</w:t>
      </w:r>
      <w:proofErr w:type="spellEnd"/>
      <w:r w:rsidRPr="00817254">
        <w:rPr>
          <w:rFonts w:eastAsia="Calibri" w:cs="Arial"/>
          <w:lang w:val="es-EC"/>
        </w:rPr>
        <w:t xml:space="preserve"> </w:t>
      </w:r>
      <w:proofErr w:type="spellStart"/>
      <w:r w:rsidRPr="00817254">
        <w:rPr>
          <w:rFonts w:eastAsia="Calibri" w:cs="Arial"/>
          <w:lang w:val="es-EC"/>
        </w:rPr>
        <w:t>lessons</w:t>
      </w:r>
      <w:proofErr w:type="spellEnd"/>
      <w:r w:rsidRPr="00817254">
        <w:rPr>
          <w:rFonts w:eastAsia="Calibri" w:cs="Arial"/>
          <w:lang w:val="es-EC"/>
        </w:rPr>
        <w:t xml:space="preserve"> </w:t>
      </w:r>
      <w:proofErr w:type="spellStart"/>
      <w:r w:rsidRPr="00817254">
        <w:rPr>
          <w:rFonts w:eastAsia="Calibri" w:cs="Arial"/>
          <w:lang w:val="es-EC"/>
        </w:rPr>
        <w:t>from</w:t>
      </w:r>
      <w:proofErr w:type="spellEnd"/>
      <w:r w:rsidRPr="00817254">
        <w:rPr>
          <w:rFonts w:eastAsia="Calibri" w:cs="Arial"/>
          <w:lang w:val="es-EC"/>
        </w:rPr>
        <w:t xml:space="preserve"> a case </w:t>
      </w:r>
      <w:proofErr w:type="spellStart"/>
      <w:r w:rsidRPr="00817254">
        <w:rPr>
          <w:rFonts w:eastAsia="Calibri" w:cs="Arial"/>
          <w:lang w:val="es-EC"/>
        </w:rPr>
        <w:t>study</w:t>
      </w:r>
      <w:proofErr w:type="spellEnd"/>
      <w:r w:rsidRPr="00817254">
        <w:rPr>
          <w:rFonts w:eastAsia="Calibri" w:cs="Arial"/>
          <w:lang w:val="es-EC"/>
        </w:rPr>
        <w:t xml:space="preserve">. </w:t>
      </w:r>
      <w:hyperlink r:id="rId16" w:history="1">
        <w:r w:rsidR="002019E0" w:rsidRPr="00817254">
          <w:rPr>
            <w:rStyle w:val="Hipervnculo"/>
            <w:rFonts w:eastAsia="Calibri" w:cs="Arial"/>
            <w:u w:val="none"/>
            <w:lang w:val="es-EC"/>
          </w:rPr>
          <w:t>https://bit.ly/3KQto9u</w:t>
        </w:r>
      </w:hyperlink>
      <w:r w:rsidR="002019E0" w:rsidRPr="00817254">
        <w:rPr>
          <w:rFonts w:eastAsia="Calibri" w:cs="Arial"/>
          <w:lang w:val="es-EC"/>
        </w:rPr>
        <w:t xml:space="preserve">  </w:t>
      </w:r>
    </w:p>
    <w:p w14:paraId="5CEF84AA" w14:textId="0A9498AD" w:rsidR="007711AF" w:rsidRPr="00817254" w:rsidRDefault="007711AF" w:rsidP="007711AF">
      <w:pPr>
        <w:spacing w:after="0"/>
        <w:ind w:left="709" w:hanging="709"/>
        <w:rPr>
          <w:rFonts w:eastAsia="Calibri" w:cs="Arial"/>
          <w:lang w:val="es-EC"/>
        </w:rPr>
      </w:pPr>
      <w:r w:rsidRPr="00817254">
        <w:rPr>
          <w:rFonts w:eastAsia="Calibri" w:cs="Arial"/>
          <w:lang w:val="es-EC"/>
        </w:rPr>
        <w:t>Barrios-Martínez, D. M., Zuluaga-Ocampo, Z. P., García-</w:t>
      </w:r>
      <w:proofErr w:type="spellStart"/>
      <w:r w:rsidRPr="00817254">
        <w:rPr>
          <w:rFonts w:eastAsia="Calibri" w:cs="Arial"/>
          <w:lang w:val="es-EC"/>
        </w:rPr>
        <w:t>Cepero</w:t>
      </w:r>
      <w:proofErr w:type="spellEnd"/>
      <w:r w:rsidRPr="00817254">
        <w:rPr>
          <w:rFonts w:eastAsia="Calibri" w:cs="Arial"/>
          <w:lang w:val="es-EC"/>
        </w:rPr>
        <w:t xml:space="preserve">, M. C., Gómez-Hernández, F. A., Santamaría, A., Castro-Fajardo, L. E., &amp; Sánchez-Vallejo, A. (2019). </w:t>
      </w:r>
      <w:r w:rsidRPr="00817254">
        <w:rPr>
          <w:rFonts w:eastAsia="Calibri" w:cs="Arial"/>
          <w:lang w:val="en-US"/>
        </w:rPr>
        <w:t xml:space="preserve">Communities of practice as a comprehensive framework for teacher’s talent. </w:t>
      </w:r>
      <w:proofErr w:type="spellStart"/>
      <w:r w:rsidRPr="00817254">
        <w:rPr>
          <w:rFonts w:eastAsia="Calibri" w:cs="Arial"/>
          <w:lang w:val="es-EC"/>
        </w:rPr>
        <w:t>Magis</w:t>
      </w:r>
      <w:proofErr w:type="spellEnd"/>
      <w:r w:rsidRPr="00817254">
        <w:rPr>
          <w:rFonts w:eastAsia="Calibri" w:cs="Arial"/>
          <w:lang w:val="es-EC"/>
        </w:rPr>
        <w:t xml:space="preserve">, 11(23), 75–94. </w:t>
      </w:r>
      <w:hyperlink r:id="rId17" w:history="1">
        <w:r w:rsidR="002019E0" w:rsidRPr="00817254">
          <w:rPr>
            <w:rStyle w:val="Hipervnculo"/>
            <w:rFonts w:eastAsia="Calibri" w:cs="Arial"/>
            <w:u w:val="none"/>
            <w:lang w:val="es-EC"/>
          </w:rPr>
          <w:t>https://bit.ly/41lLUfm</w:t>
        </w:r>
      </w:hyperlink>
      <w:r w:rsidR="002019E0" w:rsidRPr="00817254">
        <w:rPr>
          <w:rFonts w:eastAsia="Calibri" w:cs="Arial"/>
          <w:lang w:val="es-EC"/>
        </w:rPr>
        <w:t xml:space="preserve"> </w:t>
      </w:r>
    </w:p>
    <w:p w14:paraId="6BC14F76" w14:textId="5EE46843" w:rsidR="007711AF" w:rsidRPr="00817254" w:rsidRDefault="007711AF" w:rsidP="007711AF">
      <w:pPr>
        <w:spacing w:after="0"/>
        <w:ind w:left="709" w:hanging="709"/>
        <w:rPr>
          <w:rFonts w:eastAsia="Calibri" w:cs="Arial"/>
          <w:lang w:val="es-EC"/>
        </w:rPr>
      </w:pPr>
      <w:r w:rsidRPr="00817254">
        <w:rPr>
          <w:rFonts w:eastAsia="Calibri" w:cs="Arial"/>
          <w:lang w:val="es-EC"/>
        </w:rPr>
        <w:t xml:space="preserve">Bedoya González, J. R., Betancourt Cardona, M. O., &amp; Villa Montoya, F. L. (2017). Creación de una comunidad de práctica para la formación de docentes en la integración de las TIC a los procesos de aprendizaje y enseñanza de lenguas extranjeras. </w:t>
      </w:r>
      <w:proofErr w:type="spellStart"/>
      <w:r w:rsidRPr="00817254">
        <w:rPr>
          <w:rFonts w:eastAsia="Calibri" w:cs="Arial"/>
          <w:lang w:val="es-EC"/>
        </w:rPr>
        <w:t>Ikala</w:t>
      </w:r>
      <w:proofErr w:type="spellEnd"/>
      <w:r w:rsidRPr="00817254">
        <w:rPr>
          <w:rFonts w:eastAsia="Calibri" w:cs="Arial"/>
          <w:lang w:val="es-EC"/>
        </w:rPr>
        <w:t xml:space="preserve">, Revista de Lenguaje y Cultura, 23(1), 121–139. </w:t>
      </w:r>
      <w:hyperlink r:id="rId18" w:history="1">
        <w:r w:rsidR="002019E0" w:rsidRPr="00817254">
          <w:rPr>
            <w:rStyle w:val="Hipervnculo"/>
            <w:rFonts w:eastAsia="Calibri" w:cs="Arial"/>
            <w:u w:val="none"/>
            <w:lang w:val="es-EC"/>
          </w:rPr>
          <w:t>https://bit.ly/3UzS7SP</w:t>
        </w:r>
      </w:hyperlink>
      <w:r w:rsidR="002019E0" w:rsidRPr="00817254">
        <w:rPr>
          <w:rFonts w:eastAsia="Calibri" w:cs="Arial"/>
          <w:lang w:val="es-EC"/>
        </w:rPr>
        <w:t xml:space="preserve"> </w:t>
      </w:r>
    </w:p>
    <w:p w14:paraId="72125CAC" w14:textId="7A30E9E3" w:rsidR="007711AF" w:rsidRPr="00817254" w:rsidRDefault="007711AF" w:rsidP="007711AF">
      <w:pPr>
        <w:spacing w:after="0"/>
        <w:ind w:left="709" w:hanging="709"/>
        <w:rPr>
          <w:rFonts w:eastAsia="Calibri" w:cs="Arial"/>
          <w:lang w:val="en-US"/>
        </w:rPr>
      </w:pPr>
      <w:proofErr w:type="spellStart"/>
      <w:r w:rsidRPr="00817254">
        <w:rPr>
          <w:rFonts w:eastAsia="Calibri" w:cs="Arial"/>
          <w:lang w:val="es-EC"/>
        </w:rPr>
        <w:t>Bertolazo</w:t>
      </w:r>
      <w:proofErr w:type="spellEnd"/>
      <w:r w:rsidRPr="00817254">
        <w:rPr>
          <w:rFonts w:eastAsia="Calibri" w:cs="Arial"/>
          <w:lang w:val="es-EC"/>
        </w:rPr>
        <w:t xml:space="preserve">, T., </w:t>
      </w:r>
      <w:proofErr w:type="spellStart"/>
      <w:r w:rsidRPr="00817254">
        <w:rPr>
          <w:rFonts w:eastAsia="Calibri" w:cs="Arial"/>
          <w:lang w:val="es-EC"/>
        </w:rPr>
        <w:t>Rejane</w:t>
      </w:r>
      <w:proofErr w:type="spellEnd"/>
      <w:r w:rsidRPr="00817254">
        <w:rPr>
          <w:rFonts w:eastAsia="Calibri" w:cs="Arial"/>
          <w:lang w:val="es-EC"/>
        </w:rPr>
        <w:t xml:space="preserve">, S., &amp; </w:t>
      </w:r>
      <w:proofErr w:type="spellStart"/>
      <w:r w:rsidRPr="00817254">
        <w:rPr>
          <w:rFonts w:eastAsia="Calibri" w:cs="Arial"/>
          <w:lang w:val="es-EC"/>
        </w:rPr>
        <w:t>Tenoría</w:t>
      </w:r>
      <w:proofErr w:type="spellEnd"/>
      <w:r w:rsidRPr="00817254">
        <w:rPr>
          <w:rFonts w:eastAsia="Calibri" w:cs="Arial"/>
          <w:lang w:val="es-EC"/>
        </w:rPr>
        <w:t xml:space="preserve">, N. (2020). </w:t>
      </w:r>
      <w:r w:rsidRPr="00817254">
        <w:rPr>
          <w:rFonts w:eastAsia="Calibri" w:cs="Arial"/>
          <w:lang w:val="en-US"/>
        </w:rPr>
        <w:t>Knowledge management: an exploratory study for knowledge transfer in a university (Vol. 28).</w:t>
      </w:r>
    </w:p>
    <w:p w14:paraId="01C79C21" w14:textId="5B8A7147" w:rsidR="00AB7F2F" w:rsidRPr="00817254" w:rsidRDefault="00AB7F2F" w:rsidP="007711AF">
      <w:pPr>
        <w:spacing w:after="0"/>
        <w:ind w:left="709" w:hanging="709"/>
        <w:rPr>
          <w:rFonts w:eastAsia="Calibri" w:cs="Arial"/>
        </w:rPr>
      </w:pPr>
      <w:r w:rsidRPr="00817254">
        <w:rPr>
          <w:rFonts w:eastAsia="Calibri" w:cs="Arial"/>
          <w:lang w:val="es-EC"/>
        </w:rPr>
        <w:t xml:space="preserve">Cáceres García, N. G., &amp; Cáceres Albornoz, G. A. (2022). Responsabilidad social universitaria: percepción en estudiantes de Posgrado Facultad de Ciencias Administrativas Universidad Central del Ecuador. Revista Científica Retos de La Ciencia, 6(13), 66–80. </w:t>
      </w:r>
      <w:hyperlink r:id="rId19" w:history="1">
        <w:r w:rsidR="002019E0" w:rsidRPr="00817254">
          <w:rPr>
            <w:rStyle w:val="Hipervnculo"/>
            <w:rFonts w:eastAsia="Calibri" w:cs="Arial"/>
            <w:u w:val="none"/>
            <w:lang w:val="es-EC"/>
          </w:rPr>
          <w:t>https://bit.ly/3KNQ9tN</w:t>
        </w:r>
      </w:hyperlink>
      <w:r w:rsidR="002019E0" w:rsidRPr="00817254">
        <w:rPr>
          <w:rFonts w:eastAsia="Calibri" w:cs="Arial"/>
          <w:lang w:val="es-EC"/>
        </w:rPr>
        <w:t xml:space="preserve"> </w:t>
      </w:r>
    </w:p>
    <w:p w14:paraId="457A2799" w14:textId="5BFAE614" w:rsidR="007711AF" w:rsidRPr="00817254" w:rsidRDefault="007711AF" w:rsidP="007711AF">
      <w:pPr>
        <w:spacing w:after="0"/>
        <w:ind w:left="709" w:hanging="709"/>
        <w:rPr>
          <w:rFonts w:eastAsia="Calibri" w:cs="Arial"/>
          <w:lang w:val="es-EC"/>
        </w:rPr>
      </w:pPr>
      <w:r w:rsidRPr="00817254">
        <w:rPr>
          <w:rFonts w:eastAsia="Calibri" w:cs="Arial"/>
          <w:lang w:val="es-EC"/>
        </w:rPr>
        <w:t xml:space="preserve">Cantero, N., Antonio, R., &amp; Vallejo, P. (2018). Los retos de la dirección escolar en los centros comunidades de aprendizaje de </w:t>
      </w:r>
      <w:proofErr w:type="spellStart"/>
      <w:r w:rsidRPr="00817254">
        <w:rPr>
          <w:rFonts w:eastAsia="Calibri" w:cs="Arial"/>
          <w:lang w:val="es-EC"/>
        </w:rPr>
        <w:t>andalucía</w:t>
      </w:r>
      <w:proofErr w:type="spellEnd"/>
      <w:r w:rsidRPr="00817254">
        <w:rPr>
          <w:rFonts w:eastAsia="Calibri" w:cs="Arial"/>
          <w:lang w:val="es-EC"/>
        </w:rPr>
        <w:t xml:space="preserve"> </w:t>
      </w:r>
      <w:proofErr w:type="spellStart"/>
      <w:r w:rsidRPr="00817254">
        <w:rPr>
          <w:rFonts w:eastAsia="Calibri" w:cs="Arial"/>
          <w:lang w:val="es-EC"/>
        </w:rPr>
        <w:t>the</w:t>
      </w:r>
      <w:proofErr w:type="spellEnd"/>
      <w:r w:rsidRPr="00817254">
        <w:rPr>
          <w:rFonts w:eastAsia="Calibri" w:cs="Arial"/>
          <w:lang w:val="es-EC"/>
        </w:rPr>
        <w:t xml:space="preserve"> </w:t>
      </w:r>
      <w:proofErr w:type="spellStart"/>
      <w:r w:rsidRPr="00817254">
        <w:rPr>
          <w:rFonts w:eastAsia="Calibri" w:cs="Arial"/>
          <w:lang w:val="es-EC"/>
        </w:rPr>
        <w:t>challenges</w:t>
      </w:r>
      <w:proofErr w:type="spellEnd"/>
      <w:r w:rsidRPr="00817254">
        <w:rPr>
          <w:rFonts w:eastAsia="Calibri" w:cs="Arial"/>
          <w:lang w:val="es-EC"/>
        </w:rPr>
        <w:t xml:space="preserve"> of </w:t>
      </w:r>
      <w:proofErr w:type="spellStart"/>
      <w:r w:rsidRPr="00817254">
        <w:rPr>
          <w:rFonts w:eastAsia="Calibri" w:cs="Arial"/>
          <w:lang w:val="es-EC"/>
        </w:rPr>
        <w:t>school</w:t>
      </w:r>
      <w:proofErr w:type="spellEnd"/>
      <w:r w:rsidRPr="00817254">
        <w:rPr>
          <w:rFonts w:eastAsia="Calibri" w:cs="Arial"/>
          <w:lang w:val="es-EC"/>
        </w:rPr>
        <w:t xml:space="preserve"> </w:t>
      </w:r>
      <w:proofErr w:type="spellStart"/>
      <w:r w:rsidRPr="00817254">
        <w:rPr>
          <w:rFonts w:eastAsia="Calibri" w:cs="Arial"/>
          <w:lang w:val="es-EC"/>
        </w:rPr>
        <w:t>management</w:t>
      </w:r>
      <w:proofErr w:type="spellEnd"/>
      <w:r w:rsidRPr="00817254">
        <w:rPr>
          <w:rFonts w:eastAsia="Calibri" w:cs="Arial"/>
          <w:lang w:val="es-EC"/>
        </w:rPr>
        <w:t xml:space="preserve"> in </w:t>
      </w:r>
      <w:proofErr w:type="spellStart"/>
      <w:r w:rsidRPr="00817254">
        <w:rPr>
          <w:rFonts w:eastAsia="Calibri" w:cs="Arial"/>
          <w:lang w:val="es-EC"/>
        </w:rPr>
        <w:t>the</w:t>
      </w:r>
      <w:proofErr w:type="spellEnd"/>
      <w:r w:rsidRPr="00817254">
        <w:rPr>
          <w:rFonts w:eastAsia="Calibri" w:cs="Arial"/>
          <w:lang w:val="es-EC"/>
        </w:rPr>
        <w:t xml:space="preserve"> </w:t>
      </w:r>
      <w:proofErr w:type="spellStart"/>
      <w:r w:rsidRPr="00817254">
        <w:rPr>
          <w:rFonts w:eastAsia="Calibri" w:cs="Arial"/>
          <w:lang w:val="es-EC"/>
        </w:rPr>
        <w:t>andalusian</w:t>
      </w:r>
      <w:proofErr w:type="spellEnd"/>
      <w:r w:rsidRPr="00817254">
        <w:rPr>
          <w:rFonts w:eastAsia="Calibri" w:cs="Arial"/>
          <w:lang w:val="es-EC"/>
        </w:rPr>
        <w:t xml:space="preserve"> </w:t>
      </w:r>
      <w:proofErr w:type="spellStart"/>
      <w:r w:rsidRPr="00817254">
        <w:rPr>
          <w:rFonts w:eastAsia="Calibri" w:cs="Arial"/>
          <w:lang w:val="es-EC"/>
        </w:rPr>
        <w:t>learning</w:t>
      </w:r>
      <w:proofErr w:type="spellEnd"/>
      <w:r w:rsidRPr="00817254">
        <w:rPr>
          <w:rFonts w:eastAsia="Calibri" w:cs="Arial"/>
          <w:lang w:val="es-EC"/>
        </w:rPr>
        <w:t xml:space="preserve"> </w:t>
      </w:r>
      <w:proofErr w:type="spellStart"/>
      <w:r w:rsidRPr="00817254">
        <w:rPr>
          <w:rFonts w:eastAsia="Calibri" w:cs="Arial"/>
          <w:lang w:val="es-EC"/>
        </w:rPr>
        <w:t>communities</w:t>
      </w:r>
      <w:proofErr w:type="spellEnd"/>
      <w:r w:rsidRPr="00817254">
        <w:rPr>
          <w:rFonts w:eastAsia="Calibri" w:cs="Arial"/>
          <w:lang w:val="es-EC"/>
        </w:rPr>
        <w:t xml:space="preserve"> centers. </w:t>
      </w:r>
      <w:proofErr w:type="spellStart"/>
      <w:r w:rsidRPr="00817254">
        <w:rPr>
          <w:rFonts w:eastAsia="Calibri" w:cs="Arial"/>
          <w:lang w:val="es-EC"/>
        </w:rPr>
        <w:t>Evista</w:t>
      </w:r>
      <w:proofErr w:type="spellEnd"/>
      <w:r w:rsidRPr="00817254">
        <w:rPr>
          <w:rFonts w:eastAsia="Calibri" w:cs="Arial"/>
          <w:lang w:val="es-EC"/>
        </w:rPr>
        <w:t xml:space="preserve"> Española de Orientación y Psicopedagogía, 29(3), 61–78. </w:t>
      </w:r>
      <w:hyperlink r:id="rId20" w:history="1">
        <w:r w:rsidR="002019E0" w:rsidRPr="00817254">
          <w:rPr>
            <w:rStyle w:val="Hipervnculo"/>
            <w:rFonts w:eastAsia="Calibri" w:cs="Arial"/>
            <w:u w:val="none"/>
            <w:lang w:val="es-EC"/>
          </w:rPr>
          <w:t>https://bit.ly/3zUHoZu</w:t>
        </w:r>
      </w:hyperlink>
      <w:r w:rsidR="002019E0" w:rsidRPr="00817254">
        <w:rPr>
          <w:rFonts w:eastAsia="Calibri" w:cs="Arial"/>
          <w:lang w:val="es-EC"/>
        </w:rPr>
        <w:t xml:space="preserve"> </w:t>
      </w:r>
    </w:p>
    <w:p w14:paraId="7A4DEED2" w14:textId="1341F3EF" w:rsidR="007711AF" w:rsidRPr="00817254" w:rsidRDefault="007711AF" w:rsidP="007711AF">
      <w:pPr>
        <w:spacing w:after="0"/>
        <w:ind w:left="709" w:hanging="709"/>
        <w:rPr>
          <w:rFonts w:eastAsia="Calibri" w:cs="Arial"/>
          <w:lang w:val="es-EC"/>
        </w:rPr>
      </w:pPr>
      <w:proofErr w:type="spellStart"/>
      <w:r w:rsidRPr="00817254">
        <w:rPr>
          <w:rFonts w:eastAsia="Calibri" w:cs="Arial"/>
          <w:lang w:val="es-EC"/>
        </w:rPr>
        <w:t>Chicaíza</w:t>
      </w:r>
      <w:proofErr w:type="spellEnd"/>
      <w:r w:rsidRPr="00817254">
        <w:rPr>
          <w:rFonts w:eastAsia="Calibri" w:cs="Arial"/>
          <w:lang w:val="es-EC"/>
        </w:rPr>
        <w:t xml:space="preserve">-Becerra, L. A., Riaño </w:t>
      </w:r>
      <w:proofErr w:type="spellStart"/>
      <w:r w:rsidRPr="00817254">
        <w:rPr>
          <w:rFonts w:eastAsia="Calibri" w:cs="Arial"/>
          <w:lang w:val="es-EC"/>
        </w:rPr>
        <w:t>Casallas</w:t>
      </w:r>
      <w:proofErr w:type="spellEnd"/>
      <w:r w:rsidRPr="00817254">
        <w:rPr>
          <w:rFonts w:eastAsia="Calibri" w:cs="Arial"/>
          <w:lang w:val="es-EC"/>
        </w:rPr>
        <w:t xml:space="preserve">, M. I., Rojas-Berrio Claudia Patricia, &amp; Garzón Santos, S. (2017). Revisión sistemática de la literatura en Administración. </w:t>
      </w:r>
      <w:hyperlink r:id="rId21" w:history="1">
        <w:r w:rsidR="002019E0" w:rsidRPr="00817254">
          <w:rPr>
            <w:rStyle w:val="Hipervnculo"/>
            <w:rFonts w:eastAsia="Calibri" w:cs="Arial"/>
            <w:u w:val="none"/>
            <w:lang w:val="es-EC"/>
          </w:rPr>
          <w:t>https://bit.ly/3KQhMDn</w:t>
        </w:r>
      </w:hyperlink>
      <w:r w:rsidR="002019E0" w:rsidRPr="00817254">
        <w:rPr>
          <w:rFonts w:eastAsia="Calibri" w:cs="Arial"/>
          <w:lang w:val="es-EC"/>
        </w:rPr>
        <w:t xml:space="preserve"> </w:t>
      </w:r>
    </w:p>
    <w:p w14:paraId="1ACFF11E" w14:textId="2979CC66" w:rsidR="007711AF" w:rsidRPr="00817254" w:rsidRDefault="007711AF" w:rsidP="007711AF">
      <w:pPr>
        <w:spacing w:after="0"/>
        <w:ind w:left="709" w:hanging="709"/>
        <w:rPr>
          <w:rFonts w:eastAsia="Calibri" w:cs="Arial"/>
          <w:lang w:val="en-US"/>
        </w:rPr>
      </w:pPr>
      <w:r w:rsidRPr="00817254">
        <w:rPr>
          <w:rFonts w:eastAsia="Calibri" w:cs="Arial"/>
          <w:lang w:val="en-US"/>
        </w:rPr>
        <w:t xml:space="preserve">Christensen, B. (2018). The Process of Creating Value </w:t>
      </w:r>
      <w:proofErr w:type="gramStart"/>
      <w:r w:rsidRPr="00817254">
        <w:rPr>
          <w:rFonts w:eastAsia="Calibri" w:cs="Arial"/>
          <w:lang w:val="en-US"/>
        </w:rPr>
        <w:t>With</w:t>
      </w:r>
      <w:proofErr w:type="gramEnd"/>
      <w:r w:rsidRPr="00817254">
        <w:rPr>
          <w:rFonts w:eastAsia="Calibri" w:cs="Arial"/>
          <w:lang w:val="en-US"/>
        </w:rPr>
        <w:t xml:space="preserve"> Intellectual Capital Practice as An Intangible Asset in Communities of Practice in The SME: An Empirical Case Study. The Electronic Journal of Knowledge Management, 16(2), 73–83. </w:t>
      </w:r>
      <w:hyperlink r:id="rId22" w:history="1">
        <w:r w:rsidR="002019E0" w:rsidRPr="00817254">
          <w:rPr>
            <w:rStyle w:val="Hipervnculo"/>
            <w:rFonts w:eastAsia="Calibri" w:cs="Arial"/>
            <w:u w:val="none"/>
            <w:lang w:val="en-US"/>
          </w:rPr>
          <w:t>www.ejkm.com</w:t>
        </w:r>
      </w:hyperlink>
      <w:r w:rsidR="002019E0" w:rsidRPr="00817254">
        <w:rPr>
          <w:rFonts w:eastAsia="Calibri" w:cs="Arial"/>
          <w:lang w:val="en-US"/>
        </w:rPr>
        <w:t xml:space="preserve"> </w:t>
      </w:r>
    </w:p>
    <w:p w14:paraId="3661C512" w14:textId="52DEE03C" w:rsidR="007711AF" w:rsidRPr="00817254" w:rsidRDefault="007711AF" w:rsidP="007711AF">
      <w:pPr>
        <w:spacing w:after="0"/>
        <w:ind w:left="709" w:hanging="709"/>
        <w:rPr>
          <w:rFonts w:eastAsia="Calibri" w:cs="Arial"/>
          <w:lang w:val="es-EC"/>
        </w:rPr>
      </w:pPr>
      <w:r w:rsidRPr="00817254">
        <w:rPr>
          <w:rFonts w:eastAsia="Calibri" w:cs="Arial"/>
          <w:lang w:val="en-US"/>
        </w:rPr>
        <w:t xml:space="preserve">de Souza Machado, R., </w:t>
      </w:r>
      <w:proofErr w:type="spellStart"/>
      <w:r w:rsidRPr="00817254">
        <w:rPr>
          <w:rFonts w:eastAsia="Calibri" w:cs="Arial"/>
          <w:lang w:val="en-US"/>
        </w:rPr>
        <w:t>Fleig</w:t>
      </w:r>
      <w:proofErr w:type="spellEnd"/>
      <w:r w:rsidRPr="00817254">
        <w:rPr>
          <w:rFonts w:eastAsia="Calibri" w:cs="Arial"/>
          <w:lang w:val="en-US"/>
        </w:rPr>
        <w:t xml:space="preserve">, L., </w:t>
      </w:r>
      <w:proofErr w:type="spellStart"/>
      <w:r w:rsidRPr="00817254">
        <w:rPr>
          <w:rFonts w:eastAsia="Calibri" w:cs="Arial"/>
          <w:lang w:val="en-US"/>
        </w:rPr>
        <w:t>Forno</w:t>
      </w:r>
      <w:proofErr w:type="spellEnd"/>
      <w:r w:rsidRPr="00817254">
        <w:rPr>
          <w:rFonts w:eastAsia="Calibri" w:cs="Arial"/>
          <w:lang w:val="en-US"/>
        </w:rPr>
        <w:t xml:space="preserve">, D., &amp; </w:t>
      </w:r>
      <w:proofErr w:type="spellStart"/>
      <w:r w:rsidRPr="00817254">
        <w:rPr>
          <w:rFonts w:eastAsia="Calibri" w:cs="Arial"/>
          <w:lang w:val="en-US"/>
        </w:rPr>
        <w:t>Carnevale</w:t>
      </w:r>
      <w:proofErr w:type="spellEnd"/>
      <w:r w:rsidRPr="00817254">
        <w:rPr>
          <w:rFonts w:eastAsia="Calibri" w:cs="Arial"/>
          <w:lang w:val="en-US"/>
        </w:rPr>
        <w:t xml:space="preserve"> De Almeida, I. (2020). The use of technological tools as communities of practice by teachers of a private education network </w:t>
      </w:r>
      <w:proofErr w:type="spellStart"/>
      <w:r w:rsidRPr="00817254">
        <w:rPr>
          <w:rFonts w:eastAsia="Calibri" w:cs="Arial"/>
          <w:lang w:val="en-US"/>
        </w:rPr>
        <w:t>Esta</w:t>
      </w:r>
      <w:proofErr w:type="spellEnd"/>
      <w:r w:rsidRPr="00817254">
        <w:rPr>
          <w:rFonts w:eastAsia="Calibri" w:cs="Arial"/>
          <w:lang w:val="en-US"/>
        </w:rPr>
        <w:t xml:space="preserve"> </w:t>
      </w:r>
      <w:proofErr w:type="spellStart"/>
      <w:r w:rsidRPr="00817254">
        <w:rPr>
          <w:rFonts w:eastAsia="Calibri" w:cs="Arial"/>
          <w:lang w:val="en-US"/>
        </w:rPr>
        <w:t>obra</w:t>
      </w:r>
      <w:proofErr w:type="spellEnd"/>
      <w:r w:rsidRPr="00817254">
        <w:rPr>
          <w:rFonts w:eastAsia="Calibri" w:cs="Arial"/>
          <w:lang w:val="en-US"/>
        </w:rPr>
        <w:t xml:space="preserve"> se </w:t>
      </w:r>
      <w:proofErr w:type="spellStart"/>
      <w:r w:rsidRPr="00817254">
        <w:rPr>
          <w:rFonts w:eastAsia="Calibri" w:cs="Arial"/>
          <w:lang w:val="en-US"/>
        </w:rPr>
        <w:t>distribuye</w:t>
      </w:r>
      <w:proofErr w:type="spellEnd"/>
      <w:r w:rsidRPr="00817254">
        <w:rPr>
          <w:rFonts w:eastAsia="Calibri" w:cs="Arial"/>
          <w:lang w:val="en-US"/>
        </w:rPr>
        <w:t xml:space="preserve"> </w:t>
      </w:r>
      <w:proofErr w:type="spellStart"/>
      <w:r w:rsidRPr="00817254">
        <w:rPr>
          <w:rFonts w:eastAsia="Calibri" w:cs="Arial"/>
          <w:lang w:val="en-US"/>
        </w:rPr>
        <w:t>bajo</w:t>
      </w:r>
      <w:proofErr w:type="spellEnd"/>
      <w:r w:rsidRPr="00817254">
        <w:rPr>
          <w:rFonts w:eastAsia="Calibri" w:cs="Arial"/>
          <w:lang w:val="en-US"/>
        </w:rPr>
        <w:t xml:space="preserve"> </w:t>
      </w:r>
      <w:proofErr w:type="spellStart"/>
      <w:r w:rsidRPr="00817254">
        <w:rPr>
          <w:rFonts w:eastAsia="Calibri" w:cs="Arial"/>
          <w:lang w:val="en-US"/>
        </w:rPr>
        <w:t>Licencia</w:t>
      </w:r>
      <w:proofErr w:type="spellEnd"/>
      <w:r w:rsidRPr="00817254">
        <w:rPr>
          <w:rFonts w:eastAsia="Calibri" w:cs="Arial"/>
          <w:lang w:val="en-US"/>
        </w:rPr>
        <w:t xml:space="preserve"> Creative Commons CC-BY-NC 4.0. </w:t>
      </w:r>
      <w:r w:rsidRPr="00817254">
        <w:rPr>
          <w:rFonts w:eastAsia="Calibri" w:cs="Arial"/>
          <w:lang w:val="es-EC"/>
        </w:rPr>
        <w:t xml:space="preserve">25, 21–30. </w:t>
      </w:r>
      <w:hyperlink r:id="rId23" w:history="1">
        <w:r w:rsidR="002019E0" w:rsidRPr="00817254">
          <w:rPr>
            <w:rStyle w:val="Hipervnculo"/>
            <w:rFonts w:eastAsia="Calibri" w:cs="Arial"/>
            <w:u w:val="none"/>
            <w:lang w:val="es-EC"/>
          </w:rPr>
          <w:t>https://doi.org/10.24215/18509959.25.e02</w:t>
        </w:r>
      </w:hyperlink>
      <w:r w:rsidR="002019E0" w:rsidRPr="00817254">
        <w:rPr>
          <w:rFonts w:eastAsia="Calibri" w:cs="Arial"/>
          <w:lang w:val="es-EC"/>
        </w:rPr>
        <w:t xml:space="preserve"> </w:t>
      </w:r>
    </w:p>
    <w:p w14:paraId="5FD20DB7" w14:textId="6BB705D1" w:rsidR="007711AF" w:rsidRPr="00817254" w:rsidRDefault="007711AF" w:rsidP="007711AF">
      <w:pPr>
        <w:spacing w:after="0"/>
        <w:ind w:left="709" w:hanging="709"/>
        <w:rPr>
          <w:rFonts w:eastAsia="Calibri" w:cs="Arial"/>
          <w:lang w:val="es-EC"/>
        </w:rPr>
      </w:pPr>
      <w:r w:rsidRPr="00817254">
        <w:rPr>
          <w:rFonts w:eastAsia="Calibri" w:cs="Arial"/>
          <w:lang w:val="es-EC"/>
        </w:rPr>
        <w:t xml:space="preserve">Duarte, V. D. V., </w:t>
      </w:r>
      <w:proofErr w:type="spellStart"/>
      <w:r w:rsidRPr="00817254">
        <w:rPr>
          <w:rFonts w:eastAsia="Calibri" w:cs="Arial"/>
          <w:lang w:val="es-EC"/>
        </w:rPr>
        <w:t>Gazquez</w:t>
      </w:r>
      <w:proofErr w:type="spellEnd"/>
      <w:r w:rsidRPr="00817254">
        <w:rPr>
          <w:rFonts w:eastAsia="Calibri" w:cs="Arial"/>
          <w:lang w:val="es-EC"/>
        </w:rPr>
        <w:t xml:space="preserve">, A. H., </w:t>
      </w:r>
      <w:proofErr w:type="spellStart"/>
      <w:r w:rsidRPr="00817254">
        <w:rPr>
          <w:rFonts w:eastAsia="Calibri" w:cs="Arial"/>
          <w:lang w:val="es-EC"/>
        </w:rPr>
        <w:t>Massuda</w:t>
      </w:r>
      <w:proofErr w:type="spellEnd"/>
      <w:r w:rsidRPr="00817254">
        <w:rPr>
          <w:rFonts w:eastAsia="Calibri" w:cs="Arial"/>
          <w:lang w:val="es-EC"/>
        </w:rPr>
        <w:t xml:space="preserve">, E. M., &amp; </w:t>
      </w:r>
      <w:proofErr w:type="spellStart"/>
      <w:r w:rsidRPr="00817254">
        <w:rPr>
          <w:rFonts w:eastAsia="Calibri" w:cs="Arial"/>
          <w:lang w:val="es-EC"/>
        </w:rPr>
        <w:t>Macuch</w:t>
      </w:r>
      <w:proofErr w:type="spellEnd"/>
      <w:r w:rsidRPr="00817254">
        <w:rPr>
          <w:rFonts w:eastAsia="Calibri" w:cs="Arial"/>
          <w:lang w:val="es-EC"/>
        </w:rPr>
        <w:t xml:space="preserve">, R. D. S. (2020). Comunidades de </w:t>
      </w:r>
      <w:proofErr w:type="spellStart"/>
      <w:r w:rsidRPr="00817254">
        <w:rPr>
          <w:rFonts w:eastAsia="Calibri" w:cs="Arial"/>
          <w:lang w:val="es-EC"/>
        </w:rPr>
        <w:t>pratica</w:t>
      </w:r>
      <w:proofErr w:type="spellEnd"/>
      <w:r w:rsidRPr="00817254">
        <w:rPr>
          <w:rFonts w:eastAsia="Calibri" w:cs="Arial"/>
          <w:lang w:val="es-EC"/>
        </w:rPr>
        <w:t xml:space="preserve"> </w:t>
      </w:r>
      <w:proofErr w:type="spellStart"/>
      <w:r w:rsidRPr="00817254">
        <w:rPr>
          <w:rFonts w:eastAsia="Calibri" w:cs="Arial"/>
          <w:lang w:val="es-EC"/>
        </w:rPr>
        <w:t>em</w:t>
      </w:r>
      <w:proofErr w:type="spellEnd"/>
      <w:r w:rsidRPr="00817254">
        <w:rPr>
          <w:rFonts w:eastAsia="Calibri" w:cs="Arial"/>
          <w:lang w:val="es-EC"/>
        </w:rPr>
        <w:t xml:space="preserve"> </w:t>
      </w:r>
      <w:proofErr w:type="spellStart"/>
      <w:r w:rsidRPr="00817254">
        <w:rPr>
          <w:rFonts w:eastAsia="Calibri" w:cs="Arial"/>
          <w:lang w:val="es-EC"/>
        </w:rPr>
        <w:t>saúde</w:t>
      </w:r>
      <w:proofErr w:type="spellEnd"/>
      <w:r w:rsidRPr="00817254">
        <w:rPr>
          <w:rFonts w:eastAsia="Calibri" w:cs="Arial"/>
          <w:lang w:val="es-EC"/>
        </w:rPr>
        <w:t xml:space="preserve"> - </w:t>
      </w:r>
      <w:proofErr w:type="spellStart"/>
      <w:r w:rsidRPr="00817254">
        <w:rPr>
          <w:rFonts w:eastAsia="Calibri" w:cs="Arial"/>
          <w:lang w:val="es-EC"/>
        </w:rPr>
        <w:t>análise</w:t>
      </w:r>
      <w:proofErr w:type="spellEnd"/>
      <w:r w:rsidRPr="00817254">
        <w:rPr>
          <w:rFonts w:eastAsia="Calibri" w:cs="Arial"/>
          <w:lang w:val="es-EC"/>
        </w:rPr>
        <w:t xml:space="preserve"> da plataforma online do </w:t>
      </w:r>
      <w:proofErr w:type="spellStart"/>
      <w:r w:rsidRPr="00817254">
        <w:rPr>
          <w:rFonts w:eastAsia="Calibri" w:cs="Arial"/>
          <w:lang w:val="es-EC"/>
        </w:rPr>
        <w:t>Ministério</w:t>
      </w:r>
      <w:proofErr w:type="spellEnd"/>
      <w:r w:rsidRPr="00817254">
        <w:rPr>
          <w:rFonts w:eastAsia="Calibri" w:cs="Arial"/>
          <w:lang w:val="es-EC"/>
        </w:rPr>
        <w:t xml:space="preserve"> da </w:t>
      </w:r>
      <w:proofErr w:type="spellStart"/>
      <w:r w:rsidRPr="00817254">
        <w:rPr>
          <w:rFonts w:eastAsia="Calibri" w:cs="Arial"/>
          <w:lang w:val="es-EC"/>
        </w:rPr>
        <w:t>Saúde</w:t>
      </w:r>
      <w:proofErr w:type="spellEnd"/>
      <w:r w:rsidRPr="00817254">
        <w:rPr>
          <w:rFonts w:eastAsia="Calibri" w:cs="Arial"/>
          <w:lang w:val="es-EC"/>
        </w:rPr>
        <w:t xml:space="preserve"> Brasileiro. Revista de </w:t>
      </w:r>
      <w:proofErr w:type="spellStart"/>
      <w:r w:rsidRPr="00817254">
        <w:rPr>
          <w:rFonts w:eastAsia="Calibri" w:cs="Arial"/>
          <w:lang w:val="es-EC"/>
        </w:rPr>
        <w:t>Gestão</w:t>
      </w:r>
      <w:proofErr w:type="spellEnd"/>
      <w:r w:rsidRPr="00817254">
        <w:rPr>
          <w:rFonts w:eastAsia="Calibri" w:cs="Arial"/>
          <w:lang w:val="es-EC"/>
        </w:rPr>
        <w:t xml:space="preserve"> </w:t>
      </w:r>
      <w:proofErr w:type="spellStart"/>
      <w:r w:rsidRPr="00817254">
        <w:rPr>
          <w:rFonts w:eastAsia="Calibri" w:cs="Arial"/>
          <w:lang w:val="es-EC"/>
        </w:rPr>
        <w:t>Em</w:t>
      </w:r>
      <w:proofErr w:type="spellEnd"/>
      <w:r w:rsidRPr="00817254">
        <w:rPr>
          <w:rFonts w:eastAsia="Calibri" w:cs="Arial"/>
          <w:lang w:val="es-EC"/>
        </w:rPr>
        <w:t xml:space="preserve"> Sistemas de </w:t>
      </w:r>
      <w:proofErr w:type="spellStart"/>
      <w:r w:rsidRPr="00817254">
        <w:rPr>
          <w:rFonts w:eastAsia="Calibri" w:cs="Arial"/>
          <w:lang w:val="es-EC"/>
        </w:rPr>
        <w:t>Saúde</w:t>
      </w:r>
      <w:proofErr w:type="spellEnd"/>
      <w:r w:rsidRPr="00817254">
        <w:rPr>
          <w:rFonts w:eastAsia="Calibri" w:cs="Arial"/>
          <w:lang w:val="es-EC"/>
        </w:rPr>
        <w:t xml:space="preserve">, 9(2), 303–318. </w:t>
      </w:r>
      <w:hyperlink r:id="rId24" w:history="1">
        <w:r w:rsidR="002019E0" w:rsidRPr="00817254">
          <w:rPr>
            <w:rStyle w:val="Hipervnculo"/>
            <w:rFonts w:eastAsia="Calibri" w:cs="Arial"/>
            <w:u w:val="none"/>
            <w:lang w:val="es-EC"/>
          </w:rPr>
          <w:t>https://doi.org/10.5585/rgss.v9i2.16390</w:t>
        </w:r>
      </w:hyperlink>
      <w:r w:rsidR="002019E0" w:rsidRPr="00817254">
        <w:rPr>
          <w:rFonts w:eastAsia="Calibri" w:cs="Arial"/>
          <w:lang w:val="es-EC"/>
        </w:rPr>
        <w:t xml:space="preserve"> </w:t>
      </w:r>
    </w:p>
    <w:p w14:paraId="18651EF1" w14:textId="354E805A" w:rsidR="007711AF" w:rsidRPr="00817254" w:rsidRDefault="007711AF" w:rsidP="007711AF">
      <w:pPr>
        <w:spacing w:after="0"/>
        <w:ind w:left="709" w:hanging="709"/>
        <w:rPr>
          <w:rFonts w:eastAsia="Calibri" w:cs="Arial"/>
          <w:lang w:val="es-EC"/>
        </w:rPr>
      </w:pPr>
      <w:r w:rsidRPr="00817254">
        <w:rPr>
          <w:rFonts w:eastAsia="Calibri" w:cs="Arial"/>
          <w:lang w:val="es-EC"/>
        </w:rPr>
        <w:t xml:space="preserve">García Valcárcel, A., González Rodero, L. M., </w:t>
      </w:r>
      <w:proofErr w:type="spellStart"/>
      <w:r w:rsidRPr="00817254">
        <w:rPr>
          <w:rFonts w:eastAsia="Calibri" w:cs="Arial"/>
          <w:lang w:val="es-EC"/>
        </w:rPr>
        <w:t>Basilotta</w:t>
      </w:r>
      <w:proofErr w:type="spellEnd"/>
      <w:r w:rsidRPr="00817254">
        <w:rPr>
          <w:rFonts w:eastAsia="Calibri" w:cs="Arial"/>
          <w:lang w:val="es-EC"/>
        </w:rPr>
        <w:t xml:space="preserve"> Gómez-Pablos, V., &amp; Martín del Pozo, M. (2018). REUNI+D: una red universitaria para la construcción colaborativa de conocimiento. RIED. Revista Iberoamericana de Educación a Distancia, 21(2), 159. </w:t>
      </w:r>
      <w:hyperlink r:id="rId25" w:history="1">
        <w:r w:rsidR="002019E0" w:rsidRPr="00817254">
          <w:rPr>
            <w:rStyle w:val="Hipervnculo"/>
            <w:rFonts w:eastAsia="Calibri" w:cs="Arial"/>
            <w:u w:val="none"/>
            <w:lang w:val="es-EC"/>
          </w:rPr>
          <w:t>https://doi.org/10.5944/ried.21.2.20605</w:t>
        </w:r>
      </w:hyperlink>
      <w:r w:rsidR="002019E0" w:rsidRPr="00817254">
        <w:rPr>
          <w:rFonts w:eastAsia="Calibri" w:cs="Arial"/>
          <w:lang w:val="es-EC"/>
        </w:rPr>
        <w:t xml:space="preserve"> </w:t>
      </w:r>
    </w:p>
    <w:p w14:paraId="7A60C7E2" w14:textId="3C6F0423" w:rsidR="007711AF" w:rsidRPr="00817254" w:rsidRDefault="007711AF" w:rsidP="007711AF">
      <w:pPr>
        <w:spacing w:after="0"/>
        <w:ind w:left="709" w:hanging="709"/>
        <w:rPr>
          <w:rFonts w:eastAsia="Calibri" w:cs="Arial"/>
          <w:lang w:val="en-US"/>
        </w:rPr>
      </w:pPr>
      <w:r w:rsidRPr="00817254">
        <w:rPr>
          <w:rFonts w:eastAsia="Calibri" w:cs="Arial"/>
          <w:lang w:val="en-US"/>
        </w:rPr>
        <w:lastRenderedPageBreak/>
        <w:t xml:space="preserve">Golden, T. P., </w:t>
      </w:r>
      <w:proofErr w:type="spellStart"/>
      <w:r w:rsidRPr="00817254">
        <w:rPr>
          <w:rFonts w:eastAsia="Calibri" w:cs="Arial"/>
          <w:lang w:val="en-US"/>
        </w:rPr>
        <w:t>Karpur</w:t>
      </w:r>
      <w:proofErr w:type="spellEnd"/>
      <w:r w:rsidRPr="00817254">
        <w:rPr>
          <w:rFonts w:eastAsia="Calibri" w:cs="Arial"/>
          <w:lang w:val="en-US"/>
        </w:rPr>
        <w:t xml:space="preserve">, A., &amp; </w:t>
      </w:r>
      <w:proofErr w:type="spellStart"/>
      <w:r w:rsidRPr="00817254">
        <w:rPr>
          <w:rFonts w:eastAsia="Calibri" w:cs="Arial"/>
          <w:lang w:val="en-US"/>
        </w:rPr>
        <w:t>Podolec</w:t>
      </w:r>
      <w:proofErr w:type="spellEnd"/>
      <w:r w:rsidRPr="00817254">
        <w:rPr>
          <w:rFonts w:eastAsia="Calibri" w:cs="Arial"/>
          <w:lang w:val="en-US"/>
        </w:rPr>
        <w:t xml:space="preserve">, M. (2019). Centering communities, constellations and networks of practice to improve youth post-school outcomes through PROMISE. Journal of Vocational Rehabilitation, 51(2), 115–125. </w:t>
      </w:r>
      <w:hyperlink r:id="rId26" w:history="1">
        <w:r w:rsidR="00817254" w:rsidRPr="00817254">
          <w:rPr>
            <w:rStyle w:val="Hipervnculo"/>
            <w:rFonts w:eastAsia="Calibri" w:cs="Arial"/>
            <w:u w:val="none"/>
            <w:lang w:val="en-US"/>
          </w:rPr>
          <w:t>https://bit.ly/3ZXJT8g</w:t>
        </w:r>
      </w:hyperlink>
      <w:r w:rsidR="00817254" w:rsidRPr="00817254">
        <w:rPr>
          <w:rFonts w:eastAsia="Calibri" w:cs="Arial"/>
          <w:lang w:val="en-US"/>
        </w:rPr>
        <w:t xml:space="preserve"> </w:t>
      </w:r>
    </w:p>
    <w:p w14:paraId="6DE11C1D" w14:textId="5D6C4EBB"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Handzic</w:t>
      </w:r>
      <w:proofErr w:type="spellEnd"/>
      <w:r w:rsidRPr="00817254">
        <w:rPr>
          <w:rFonts w:eastAsia="Calibri" w:cs="Arial"/>
          <w:lang w:val="en-US"/>
        </w:rPr>
        <w:t xml:space="preserve">, M., </w:t>
      </w:r>
      <w:proofErr w:type="spellStart"/>
      <w:r w:rsidRPr="00817254">
        <w:rPr>
          <w:rFonts w:eastAsia="Calibri" w:cs="Arial"/>
          <w:lang w:val="en-US"/>
        </w:rPr>
        <w:t>Bratianu</w:t>
      </w:r>
      <w:proofErr w:type="spellEnd"/>
      <w:r w:rsidRPr="00817254">
        <w:rPr>
          <w:rFonts w:eastAsia="Calibri" w:cs="Arial"/>
          <w:lang w:val="en-US"/>
        </w:rPr>
        <w:t xml:space="preserve">, C., &amp; </w:t>
      </w:r>
      <w:proofErr w:type="spellStart"/>
      <w:r w:rsidRPr="00817254">
        <w:rPr>
          <w:rFonts w:eastAsia="Calibri" w:cs="Arial"/>
          <w:lang w:val="en-US"/>
        </w:rPr>
        <w:t>Bolisani</w:t>
      </w:r>
      <w:proofErr w:type="spellEnd"/>
      <w:r w:rsidRPr="00817254">
        <w:rPr>
          <w:rFonts w:eastAsia="Calibri" w:cs="Arial"/>
          <w:lang w:val="en-US"/>
        </w:rPr>
        <w:t xml:space="preserve">, E. (2021). Scientific Associations as Communities of Practice for Fostering Collaborative Knowledge Building: Case Study of IAKM. The Electronic Journal of Knowledge Management, 19(2), 91–104. </w:t>
      </w:r>
      <w:hyperlink r:id="rId27" w:history="1">
        <w:r w:rsidR="00817254" w:rsidRPr="00817254">
          <w:rPr>
            <w:rStyle w:val="Hipervnculo"/>
            <w:rFonts w:eastAsia="Calibri" w:cs="Arial"/>
            <w:u w:val="none"/>
            <w:lang w:val="en-US"/>
          </w:rPr>
          <w:t>www.ejkm.com</w:t>
        </w:r>
      </w:hyperlink>
      <w:r w:rsidR="00817254" w:rsidRPr="00817254">
        <w:rPr>
          <w:rFonts w:eastAsia="Calibri" w:cs="Arial"/>
          <w:lang w:val="en-US"/>
        </w:rPr>
        <w:t xml:space="preserve"> </w:t>
      </w:r>
    </w:p>
    <w:p w14:paraId="70007DD7" w14:textId="77777777"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Hermanrud</w:t>
      </w:r>
      <w:proofErr w:type="spellEnd"/>
      <w:r w:rsidRPr="00817254">
        <w:rPr>
          <w:rFonts w:eastAsia="Calibri" w:cs="Arial"/>
          <w:lang w:val="en-US"/>
        </w:rPr>
        <w:t>, I. (2017). Best Fit KM: Linking Communities of Practice to an Innovation Strategy. Electronic Journal of Knowledge Management, 15, 28.</w:t>
      </w:r>
    </w:p>
    <w:p w14:paraId="5DE8A44E" w14:textId="1A33E0E6" w:rsidR="007711AF" w:rsidRPr="00817254" w:rsidRDefault="007711AF" w:rsidP="007711AF">
      <w:pPr>
        <w:spacing w:after="0"/>
        <w:ind w:left="709" w:hanging="709"/>
        <w:rPr>
          <w:rFonts w:eastAsia="Calibri" w:cs="Arial"/>
          <w:lang w:val="en-US"/>
        </w:rPr>
      </w:pPr>
      <w:r w:rsidRPr="00817254">
        <w:rPr>
          <w:rFonts w:eastAsia="Calibri" w:cs="Arial"/>
          <w:lang w:val="en-US"/>
        </w:rPr>
        <w:t xml:space="preserve">Hernández-Soto, R., Gutiérrez-Ortega, M., &amp; </w:t>
      </w:r>
      <w:proofErr w:type="spellStart"/>
      <w:r w:rsidRPr="00817254">
        <w:rPr>
          <w:rFonts w:eastAsia="Calibri" w:cs="Arial"/>
          <w:lang w:val="en-US"/>
        </w:rPr>
        <w:t>Rubia-Avi</w:t>
      </w:r>
      <w:proofErr w:type="spellEnd"/>
      <w:r w:rsidRPr="00817254">
        <w:rPr>
          <w:rFonts w:eastAsia="Calibri" w:cs="Arial"/>
          <w:lang w:val="en-US"/>
        </w:rPr>
        <w:t xml:space="preserve">, B. (2021). Key factors in knowledge sharing behavior in virtual communities of practice: A systematic review. In Education in the Knowledge Society (Vol. 22). </w:t>
      </w:r>
      <w:proofErr w:type="spellStart"/>
      <w:r w:rsidRPr="00817254">
        <w:rPr>
          <w:rFonts w:eastAsia="Calibri" w:cs="Arial"/>
          <w:lang w:val="en-US"/>
        </w:rPr>
        <w:t>Ediciones</w:t>
      </w:r>
      <w:proofErr w:type="spellEnd"/>
      <w:r w:rsidRPr="00817254">
        <w:rPr>
          <w:rFonts w:eastAsia="Calibri" w:cs="Arial"/>
          <w:lang w:val="en-US"/>
        </w:rPr>
        <w:t xml:space="preserve"> Universidad de Salamanca. </w:t>
      </w:r>
      <w:hyperlink r:id="rId28" w:history="1">
        <w:r w:rsidR="00817254" w:rsidRPr="00817254">
          <w:rPr>
            <w:rStyle w:val="Hipervnculo"/>
            <w:rFonts w:eastAsia="Calibri" w:cs="Arial"/>
            <w:u w:val="none"/>
            <w:lang w:val="en-US"/>
          </w:rPr>
          <w:t>https://doi.org/10.14201/eks.22715</w:t>
        </w:r>
      </w:hyperlink>
      <w:r w:rsidR="00817254" w:rsidRPr="00817254">
        <w:rPr>
          <w:rFonts w:eastAsia="Calibri" w:cs="Arial"/>
          <w:lang w:val="en-US"/>
        </w:rPr>
        <w:t xml:space="preserve"> </w:t>
      </w:r>
    </w:p>
    <w:p w14:paraId="40F42046" w14:textId="2338C521"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Jagasia</w:t>
      </w:r>
      <w:proofErr w:type="spellEnd"/>
      <w:r w:rsidRPr="00817254">
        <w:rPr>
          <w:rFonts w:eastAsia="Calibri" w:cs="Arial"/>
          <w:lang w:val="en-US"/>
        </w:rPr>
        <w:t xml:space="preserve">, J., </w:t>
      </w:r>
      <w:proofErr w:type="spellStart"/>
      <w:r w:rsidRPr="00817254">
        <w:rPr>
          <w:rFonts w:eastAsia="Calibri" w:cs="Arial"/>
          <w:lang w:val="en-US"/>
        </w:rPr>
        <w:t>Baul</w:t>
      </w:r>
      <w:proofErr w:type="spellEnd"/>
      <w:r w:rsidRPr="00817254">
        <w:rPr>
          <w:rFonts w:eastAsia="Calibri" w:cs="Arial"/>
          <w:lang w:val="en-US"/>
        </w:rPr>
        <w:t xml:space="preserve">, U., &amp; </w:t>
      </w:r>
      <w:proofErr w:type="spellStart"/>
      <w:r w:rsidRPr="00817254">
        <w:rPr>
          <w:rFonts w:eastAsia="Calibri" w:cs="Arial"/>
          <w:lang w:val="en-US"/>
        </w:rPr>
        <w:t>Mallik</w:t>
      </w:r>
      <w:proofErr w:type="spellEnd"/>
      <w:r w:rsidRPr="00817254">
        <w:rPr>
          <w:rFonts w:eastAsia="Calibri" w:cs="Arial"/>
          <w:lang w:val="en-US"/>
        </w:rPr>
        <w:t xml:space="preserve">, D. (2015). A Framework for Communities of Practice in Learning Organizations. Business Perspectives and Research, 3(1), 1–20. </w:t>
      </w:r>
      <w:hyperlink r:id="rId29" w:history="1">
        <w:r w:rsidR="00817254" w:rsidRPr="00817254">
          <w:rPr>
            <w:rStyle w:val="Hipervnculo"/>
            <w:rFonts w:eastAsia="Calibri" w:cs="Arial"/>
            <w:u w:val="none"/>
            <w:lang w:val="en-US"/>
          </w:rPr>
          <w:t>https://doi.org/10.1177/2278533714551861</w:t>
        </w:r>
      </w:hyperlink>
      <w:r w:rsidR="00817254" w:rsidRPr="00817254">
        <w:rPr>
          <w:rFonts w:eastAsia="Calibri" w:cs="Arial"/>
          <w:lang w:val="en-US"/>
        </w:rPr>
        <w:t xml:space="preserve"> </w:t>
      </w:r>
    </w:p>
    <w:p w14:paraId="7086F265" w14:textId="2ABF7CC3"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Jeffs</w:t>
      </w:r>
      <w:proofErr w:type="spellEnd"/>
      <w:r w:rsidRPr="00817254">
        <w:rPr>
          <w:rFonts w:eastAsia="Calibri" w:cs="Arial"/>
          <w:lang w:val="en-US"/>
        </w:rPr>
        <w:t xml:space="preserve">, L., McShane, J., </w:t>
      </w:r>
      <w:proofErr w:type="spellStart"/>
      <w:r w:rsidRPr="00817254">
        <w:rPr>
          <w:rFonts w:eastAsia="Calibri" w:cs="Arial"/>
          <w:lang w:val="en-US"/>
        </w:rPr>
        <w:t>Flintoft</w:t>
      </w:r>
      <w:proofErr w:type="spellEnd"/>
      <w:r w:rsidRPr="00817254">
        <w:rPr>
          <w:rFonts w:eastAsia="Calibri" w:cs="Arial"/>
          <w:lang w:val="en-US"/>
        </w:rPr>
        <w:t xml:space="preserve">, V., White, P., </w:t>
      </w:r>
      <w:proofErr w:type="spellStart"/>
      <w:r w:rsidRPr="00817254">
        <w:rPr>
          <w:rFonts w:eastAsia="Calibri" w:cs="Arial"/>
          <w:lang w:val="en-US"/>
        </w:rPr>
        <w:t>Indar</w:t>
      </w:r>
      <w:proofErr w:type="spellEnd"/>
      <w:r w:rsidRPr="00817254">
        <w:rPr>
          <w:rFonts w:eastAsia="Calibri" w:cs="Arial"/>
          <w:lang w:val="en-US"/>
        </w:rPr>
        <w:t xml:space="preserve">, A., </w:t>
      </w:r>
      <w:proofErr w:type="spellStart"/>
      <w:r w:rsidRPr="00817254">
        <w:rPr>
          <w:rFonts w:eastAsia="Calibri" w:cs="Arial"/>
          <w:lang w:val="en-US"/>
        </w:rPr>
        <w:t>Maione</w:t>
      </w:r>
      <w:proofErr w:type="spellEnd"/>
      <w:r w:rsidRPr="00817254">
        <w:rPr>
          <w:rFonts w:eastAsia="Calibri" w:cs="Arial"/>
          <w:lang w:val="en-US"/>
        </w:rPr>
        <w:t xml:space="preserve">, M., Lopez, A. J., </w:t>
      </w:r>
      <w:proofErr w:type="spellStart"/>
      <w:r w:rsidRPr="00817254">
        <w:rPr>
          <w:rFonts w:eastAsia="Calibri" w:cs="Arial"/>
          <w:lang w:val="en-US"/>
        </w:rPr>
        <w:t>Bookey</w:t>
      </w:r>
      <w:proofErr w:type="spellEnd"/>
      <w:r w:rsidRPr="00817254">
        <w:rPr>
          <w:rFonts w:eastAsia="Calibri" w:cs="Arial"/>
          <w:lang w:val="en-US"/>
        </w:rPr>
        <w:t xml:space="preserve">-Bassett, S., &amp; </w:t>
      </w:r>
      <w:proofErr w:type="spellStart"/>
      <w:r w:rsidRPr="00817254">
        <w:rPr>
          <w:rFonts w:eastAsia="Calibri" w:cs="Arial"/>
          <w:lang w:val="en-US"/>
        </w:rPr>
        <w:t>Scavuzzo</w:t>
      </w:r>
      <w:proofErr w:type="spellEnd"/>
      <w:r w:rsidRPr="00817254">
        <w:rPr>
          <w:rFonts w:eastAsia="Calibri" w:cs="Arial"/>
          <w:lang w:val="en-US"/>
        </w:rPr>
        <w:t xml:space="preserve">, L. (2016). Contextualizing learning to improve care using collaborative communities of practices. BMC Health Services Research, 16(1). </w:t>
      </w:r>
      <w:hyperlink r:id="rId30" w:history="1">
        <w:r w:rsidR="00817254" w:rsidRPr="00817254">
          <w:rPr>
            <w:rStyle w:val="Hipervnculo"/>
            <w:rFonts w:eastAsia="Calibri" w:cs="Arial"/>
            <w:u w:val="none"/>
            <w:lang w:val="en-US"/>
          </w:rPr>
          <w:t>https://doi.org/10.1186/s12913-016-1566-4</w:t>
        </w:r>
      </w:hyperlink>
      <w:r w:rsidR="00817254" w:rsidRPr="00817254">
        <w:rPr>
          <w:rFonts w:eastAsia="Calibri" w:cs="Arial"/>
          <w:lang w:val="en-US"/>
        </w:rPr>
        <w:t xml:space="preserve"> </w:t>
      </w:r>
    </w:p>
    <w:p w14:paraId="040E0C26" w14:textId="3F3CD9B9"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Lacasta</w:t>
      </w:r>
      <w:proofErr w:type="spellEnd"/>
      <w:r w:rsidRPr="00817254">
        <w:rPr>
          <w:rFonts w:eastAsia="Calibri" w:cs="Arial"/>
          <w:lang w:val="en-US"/>
        </w:rPr>
        <w:t xml:space="preserve"> </w:t>
      </w:r>
      <w:proofErr w:type="spellStart"/>
      <w:r w:rsidRPr="00817254">
        <w:rPr>
          <w:rFonts w:eastAsia="Calibri" w:cs="Arial"/>
          <w:lang w:val="en-US"/>
        </w:rPr>
        <w:t>Tintorer</w:t>
      </w:r>
      <w:proofErr w:type="spellEnd"/>
      <w:r w:rsidRPr="00817254">
        <w:rPr>
          <w:rFonts w:eastAsia="Calibri" w:cs="Arial"/>
          <w:lang w:val="en-US"/>
        </w:rPr>
        <w:t xml:space="preserve">, D., </w:t>
      </w:r>
      <w:proofErr w:type="spellStart"/>
      <w:r w:rsidRPr="00817254">
        <w:rPr>
          <w:rFonts w:eastAsia="Calibri" w:cs="Arial"/>
          <w:lang w:val="en-US"/>
        </w:rPr>
        <w:t>Flayeh</w:t>
      </w:r>
      <w:proofErr w:type="spellEnd"/>
      <w:r w:rsidRPr="00817254">
        <w:rPr>
          <w:rFonts w:eastAsia="Calibri" w:cs="Arial"/>
          <w:lang w:val="en-US"/>
        </w:rPr>
        <w:t xml:space="preserve"> </w:t>
      </w:r>
      <w:proofErr w:type="spellStart"/>
      <w:r w:rsidRPr="00817254">
        <w:rPr>
          <w:rFonts w:eastAsia="Calibri" w:cs="Arial"/>
          <w:lang w:val="en-US"/>
        </w:rPr>
        <w:t>Beneyto</w:t>
      </w:r>
      <w:proofErr w:type="spellEnd"/>
      <w:r w:rsidRPr="00817254">
        <w:rPr>
          <w:rFonts w:eastAsia="Calibri" w:cs="Arial"/>
          <w:lang w:val="en-US"/>
        </w:rPr>
        <w:t xml:space="preserve">, S., Manresa, J. M., </w:t>
      </w:r>
      <w:proofErr w:type="spellStart"/>
      <w:r w:rsidRPr="00817254">
        <w:rPr>
          <w:rFonts w:eastAsia="Calibri" w:cs="Arial"/>
          <w:lang w:val="en-US"/>
        </w:rPr>
        <w:t>Torán</w:t>
      </w:r>
      <w:proofErr w:type="spellEnd"/>
      <w:r w:rsidRPr="00817254">
        <w:rPr>
          <w:rFonts w:eastAsia="Calibri" w:cs="Arial"/>
          <w:lang w:val="en-US"/>
        </w:rPr>
        <w:t>-Monserrat, P., Jiménez-</w:t>
      </w:r>
      <w:proofErr w:type="spellStart"/>
      <w:r w:rsidRPr="00817254">
        <w:rPr>
          <w:rFonts w:eastAsia="Calibri" w:cs="Arial"/>
          <w:lang w:val="en-US"/>
        </w:rPr>
        <w:t>Zarco</w:t>
      </w:r>
      <w:proofErr w:type="spellEnd"/>
      <w:r w:rsidRPr="00817254">
        <w:rPr>
          <w:rFonts w:eastAsia="Calibri" w:cs="Arial"/>
          <w:lang w:val="en-US"/>
        </w:rPr>
        <w:t>, A., Torrent-</w:t>
      </w:r>
      <w:proofErr w:type="spellStart"/>
      <w:r w:rsidRPr="00817254">
        <w:rPr>
          <w:rFonts w:eastAsia="Calibri" w:cs="Arial"/>
          <w:lang w:val="en-US"/>
        </w:rPr>
        <w:t>Sellens</w:t>
      </w:r>
      <w:proofErr w:type="spellEnd"/>
      <w:r w:rsidRPr="00817254">
        <w:rPr>
          <w:rFonts w:eastAsia="Calibri" w:cs="Arial"/>
          <w:lang w:val="en-US"/>
        </w:rPr>
        <w:t xml:space="preserve">, J., &amp; </w:t>
      </w:r>
      <w:proofErr w:type="spellStart"/>
      <w:r w:rsidRPr="00817254">
        <w:rPr>
          <w:rFonts w:eastAsia="Calibri" w:cs="Arial"/>
          <w:lang w:val="en-US"/>
        </w:rPr>
        <w:t>Saigí-Rubió</w:t>
      </w:r>
      <w:proofErr w:type="spellEnd"/>
      <w:r w:rsidRPr="00817254">
        <w:rPr>
          <w:rFonts w:eastAsia="Calibri" w:cs="Arial"/>
          <w:lang w:val="en-US"/>
        </w:rPr>
        <w:t xml:space="preserve">, F. (2015a). Understanding the discriminant factors that influence the adoption and use of clinical communities of practice: The ECOPIH case. BMC Health Services Research, 15(1). </w:t>
      </w:r>
      <w:hyperlink r:id="rId31" w:history="1">
        <w:r w:rsidR="00817254" w:rsidRPr="00817254">
          <w:rPr>
            <w:rStyle w:val="Hipervnculo"/>
            <w:rFonts w:eastAsia="Calibri" w:cs="Arial"/>
            <w:u w:val="none"/>
            <w:lang w:val="en-US"/>
          </w:rPr>
          <w:t>https://doi.org/10.1186/s12913-015-1036-4</w:t>
        </w:r>
      </w:hyperlink>
      <w:r w:rsidR="00817254" w:rsidRPr="00817254">
        <w:rPr>
          <w:rFonts w:eastAsia="Calibri" w:cs="Arial"/>
          <w:lang w:val="en-US"/>
        </w:rPr>
        <w:t xml:space="preserve"> </w:t>
      </w:r>
    </w:p>
    <w:p w14:paraId="29F4C03C" w14:textId="5D387A07" w:rsidR="007711AF" w:rsidRPr="00626685" w:rsidRDefault="007711AF" w:rsidP="007711AF">
      <w:pPr>
        <w:spacing w:after="0"/>
        <w:ind w:left="709" w:hanging="709"/>
        <w:rPr>
          <w:rFonts w:eastAsia="Calibri" w:cs="Arial"/>
          <w:lang w:val="en-US"/>
        </w:rPr>
      </w:pPr>
      <w:proofErr w:type="spellStart"/>
      <w:r w:rsidRPr="00817254">
        <w:rPr>
          <w:rFonts w:eastAsia="Calibri" w:cs="Arial"/>
          <w:lang w:val="en-US"/>
        </w:rPr>
        <w:t>Lacasta</w:t>
      </w:r>
      <w:proofErr w:type="spellEnd"/>
      <w:r w:rsidRPr="00817254">
        <w:rPr>
          <w:rFonts w:eastAsia="Calibri" w:cs="Arial"/>
          <w:lang w:val="en-US"/>
        </w:rPr>
        <w:t xml:space="preserve"> </w:t>
      </w:r>
      <w:proofErr w:type="spellStart"/>
      <w:r w:rsidRPr="00817254">
        <w:rPr>
          <w:rFonts w:eastAsia="Calibri" w:cs="Arial"/>
          <w:lang w:val="en-US"/>
        </w:rPr>
        <w:t>Tintorer</w:t>
      </w:r>
      <w:proofErr w:type="spellEnd"/>
      <w:r w:rsidRPr="00817254">
        <w:rPr>
          <w:rFonts w:eastAsia="Calibri" w:cs="Arial"/>
          <w:lang w:val="en-US"/>
        </w:rPr>
        <w:t xml:space="preserve">, D., </w:t>
      </w:r>
      <w:proofErr w:type="spellStart"/>
      <w:r w:rsidRPr="00817254">
        <w:rPr>
          <w:rFonts w:eastAsia="Calibri" w:cs="Arial"/>
          <w:lang w:val="en-US"/>
        </w:rPr>
        <w:t>Flayeh</w:t>
      </w:r>
      <w:proofErr w:type="spellEnd"/>
      <w:r w:rsidRPr="00817254">
        <w:rPr>
          <w:rFonts w:eastAsia="Calibri" w:cs="Arial"/>
          <w:lang w:val="en-US"/>
        </w:rPr>
        <w:t xml:space="preserve"> </w:t>
      </w:r>
      <w:proofErr w:type="spellStart"/>
      <w:r w:rsidRPr="00817254">
        <w:rPr>
          <w:rFonts w:eastAsia="Calibri" w:cs="Arial"/>
          <w:lang w:val="en-US"/>
        </w:rPr>
        <w:t>Beneyto</w:t>
      </w:r>
      <w:proofErr w:type="spellEnd"/>
      <w:r w:rsidRPr="00817254">
        <w:rPr>
          <w:rFonts w:eastAsia="Calibri" w:cs="Arial"/>
          <w:lang w:val="en-US"/>
        </w:rPr>
        <w:t xml:space="preserve">, S., Manresa, J. M., </w:t>
      </w:r>
      <w:proofErr w:type="spellStart"/>
      <w:r w:rsidRPr="00817254">
        <w:rPr>
          <w:rFonts w:eastAsia="Calibri" w:cs="Arial"/>
          <w:lang w:val="en-US"/>
        </w:rPr>
        <w:t>Torán</w:t>
      </w:r>
      <w:proofErr w:type="spellEnd"/>
      <w:r w:rsidRPr="00817254">
        <w:rPr>
          <w:rFonts w:eastAsia="Calibri" w:cs="Arial"/>
          <w:lang w:val="en-US"/>
        </w:rPr>
        <w:t>-Monserrat, P., Jiménez-</w:t>
      </w:r>
      <w:proofErr w:type="spellStart"/>
      <w:r w:rsidRPr="00817254">
        <w:rPr>
          <w:rFonts w:eastAsia="Calibri" w:cs="Arial"/>
          <w:lang w:val="en-US"/>
        </w:rPr>
        <w:t>Zarco</w:t>
      </w:r>
      <w:proofErr w:type="spellEnd"/>
      <w:r w:rsidRPr="00817254">
        <w:rPr>
          <w:rFonts w:eastAsia="Calibri" w:cs="Arial"/>
          <w:lang w:val="en-US"/>
        </w:rPr>
        <w:t>, A., Torrent-</w:t>
      </w:r>
      <w:proofErr w:type="spellStart"/>
      <w:r w:rsidRPr="00817254">
        <w:rPr>
          <w:rFonts w:eastAsia="Calibri" w:cs="Arial"/>
          <w:lang w:val="en-US"/>
        </w:rPr>
        <w:t>Sellens</w:t>
      </w:r>
      <w:proofErr w:type="spellEnd"/>
      <w:r w:rsidRPr="00817254">
        <w:rPr>
          <w:rFonts w:eastAsia="Calibri" w:cs="Arial"/>
          <w:lang w:val="en-US"/>
        </w:rPr>
        <w:t xml:space="preserve">, J., &amp; </w:t>
      </w:r>
      <w:proofErr w:type="spellStart"/>
      <w:r w:rsidRPr="00817254">
        <w:rPr>
          <w:rFonts w:eastAsia="Calibri" w:cs="Arial"/>
          <w:lang w:val="en-US"/>
        </w:rPr>
        <w:t>Saigí-Rubió</w:t>
      </w:r>
      <w:proofErr w:type="spellEnd"/>
      <w:r w:rsidRPr="00817254">
        <w:rPr>
          <w:rFonts w:eastAsia="Calibri" w:cs="Arial"/>
          <w:lang w:val="en-US"/>
        </w:rPr>
        <w:t xml:space="preserve">, F. (2015b). Understanding the discriminant factors that influence the adoption and use of clinical communities of practice: The ECOPIH case. </w:t>
      </w:r>
      <w:r w:rsidRPr="00626685">
        <w:rPr>
          <w:rFonts w:eastAsia="Calibri" w:cs="Arial"/>
          <w:lang w:val="en-US"/>
        </w:rPr>
        <w:t xml:space="preserve">BMC Health Services Research, 15(1). </w:t>
      </w:r>
      <w:hyperlink r:id="rId32" w:history="1">
        <w:r w:rsidR="00817254" w:rsidRPr="00626685">
          <w:rPr>
            <w:rStyle w:val="Hipervnculo"/>
            <w:rFonts w:eastAsia="Calibri" w:cs="Arial"/>
            <w:u w:val="none"/>
            <w:lang w:val="en-US"/>
          </w:rPr>
          <w:t>https://doi.org/10.1186/s12913-015-1036-4</w:t>
        </w:r>
      </w:hyperlink>
      <w:r w:rsidR="00817254" w:rsidRPr="00626685">
        <w:rPr>
          <w:rFonts w:eastAsia="Calibri" w:cs="Arial"/>
          <w:lang w:val="en-US"/>
        </w:rPr>
        <w:t xml:space="preserve">   </w:t>
      </w:r>
    </w:p>
    <w:p w14:paraId="2D7F7AA4" w14:textId="77777777" w:rsidR="007711AF" w:rsidRPr="00626685" w:rsidRDefault="007711AF" w:rsidP="007711AF">
      <w:pPr>
        <w:spacing w:after="0"/>
        <w:ind w:left="709" w:hanging="709"/>
        <w:rPr>
          <w:rFonts w:eastAsia="Calibri" w:cs="Arial"/>
          <w:lang w:val="en-US"/>
        </w:rPr>
      </w:pPr>
      <w:r w:rsidRPr="00626685">
        <w:rPr>
          <w:rFonts w:eastAsia="Calibri" w:cs="Arial"/>
          <w:lang w:val="en-US"/>
        </w:rPr>
        <w:t>Lesser, E. y Everest, K. (2001), “</w:t>
      </w:r>
      <w:proofErr w:type="spellStart"/>
      <w:r w:rsidRPr="00626685">
        <w:rPr>
          <w:rFonts w:eastAsia="Calibri" w:cs="Arial"/>
          <w:lang w:val="en-US"/>
        </w:rPr>
        <w:t>Uso</w:t>
      </w:r>
      <w:proofErr w:type="spellEnd"/>
      <w:r w:rsidRPr="00626685">
        <w:rPr>
          <w:rFonts w:eastAsia="Calibri" w:cs="Arial"/>
          <w:lang w:val="en-US"/>
        </w:rPr>
        <w:t xml:space="preserve"> de </w:t>
      </w:r>
      <w:proofErr w:type="spellStart"/>
      <w:r w:rsidRPr="00626685">
        <w:rPr>
          <w:rFonts w:eastAsia="Calibri" w:cs="Arial"/>
          <w:lang w:val="en-US"/>
        </w:rPr>
        <w:t>comunidades</w:t>
      </w:r>
      <w:proofErr w:type="spellEnd"/>
      <w:r w:rsidRPr="00626685">
        <w:rPr>
          <w:rFonts w:eastAsia="Calibri" w:cs="Arial"/>
          <w:lang w:val="en-US"/>
        </w:rPr>
        <w:t xml:space="preserve"> de </w:t>
      </w:r>
      <w:proofErr w:type="spellStart"/>
      <w:r w:rsidRPr="00626685">
        <w:rPr>
          <w:rFonts w:eastAsia="Calibri" w:cs="Arial"/>
          <w:lang w:val="en-US"/>
        </w:rPr>
        <w:t>práctica</w:t>
      </w:r>
      <w:proofErr w:type="spellEnd"/>
      <w:r w:rsidRPr="00626685">
        <w:rPr>
          <w:rFonts w:eastAsia="Calibri" w:cs="Arial"/>
          <w:lang w:val="en-US"/>
        </w:rPr>
        <w:t xml:space="preserve"> para </w:t>
      </w:r>
      <w:proofErr w:type="spellStart"/>
      <w:r w:rsidRPr="00626685">
        <w:rPr>
          <w:rFonts w:eastAsia="Calibri" w:cs="Arial"/>
          <w:lang w:val="en-US"/>
        </w:rPr>
        <w:t>gestionar</w:t>
      </w:r>
      <w:proofErr w:type="spellEnd"/>
      <w:r w:rsidRPr="00626685">
        <w:rPr>
          <w:rFonts w:eastAsia="Calibri" w:cs="Arial"/>
          <w:lang w:val="en-US"/>
        </w:rPr>
        <w:t xml:space="preserve"> el capital </w:t>
      </w:r>
      <w:proofErr w:type="spellStart"/>
      <w:r w:rsidRPr="00626685">
        <w:rPr>
          <w:rFonts w:eastAsia="Calibri" w:cs="Arial"/>
          <w:lang w:val="en-US"/>
        </w:rPr>
        <w:t>intelectual</w:t>
      </w:r>
      <w:proofErr w:type="spellEnd"/>
      <w:r w:rsidRPr="00626685">
        <w:rPr>
          <w:rFonts w:eastAsia="Calibri" w:cs="Arial"/>
          <w:lang w:val="en-US"/>
        </w:rPr>
        <w:t xml:space="preserve">”, Ivey Business Journal, vol. 65 </w:t>
      </w:r>
      <w:proofErr w:type="spellStart"/>
      <w:r w:rsidRPr="00626685">
        <w:rPr>
          <w:rFonts w:eastAsia="Calibri" w:cs="Arial"/>
          <w:lang w:val="en-US"/>
        </w:rPr>
        <w:t>núm</w:t>
      </w:r>
      <w:proofErr w:type="spellEnd"/>
      <w:r w:rsidRPr="00626685">
        <w:rPr>
          <w:rFonts w:eastAsia="Calibri" w:cs="Arial"/>
          <w:lang w:val="en-US"/>
        </w:rPr>
        <w:t xml:space="preserve">. 4, </w:t>
      </w:r>
      <w:proofErr w:type="spellStart"/>
      <w:r w:rsidRPr="00626685">
        <w:rPr>
          <w:rFonts w:eastAsia="Calibri" w:cs="Arial"/>
          <w:lang w:val="en-US"/>
        </w:rPr>
        <w:t>págs</w:t>
      </w:r>
      <w:proofErr w:type="spellEnd"/>
      <w:r w:rsidRPr="00626685">
        <w:rPr>
          <w:rFonts w:eastAsia="Calibri" w:cs="Arial"/>
          <w:lang w:val="en-US"/>
        </w:rPr>
        <w:t>. 37-41.</w:t>
      </w:r>
    </w:p>
    <w:p w14:paraId="0E90ABF0" w14:textId="404EF12C"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Mailloux</w:t>
      </w:r>
      <w:proofErr w:type="spellEnd"/>
      <w:r w:rsidRPr="00817254">
        <w:rPr>
          <w:rFonts w:eastAsia="Calibri" w:cs="Arial"/>
          <w:lang w:val="en-US"/>
        </w:rPr>
        <w:t xml:space="preserve">, D., &amp; </w:t>
      </w:r>
      <w:proofErr w:type="spellStart"/>
      <w:r w:rsidRPr="00817254">
        <w:rPr>
          <w:rFonts w:eastAsia="Calibri" w:cs="Arial"/>
          <w:lang w:val="en-US"/>
        </w:rPr>
        <w:t>Lacharité</w:t>
      </w:r>
      <w:proofErr w:type="spellEnd"/>
      <w:r w:rsidRPr="00817254">
        <w:rPr>
          <w:rFonts w:eastAsia="Calibri" w:cs="Arial"/>
          <w:lang w:val="en-US"/>
        </w:rPr>
        <w:t xml:space="preserve">, C. (2020). Beyond new public management: Empowering community-based </w:t>
      </w:r>
      <w:proofErr w:type="spellStart"/>
      <w:r w:rsidRPr="00817254">
        <w:rPr>
          <w:rFonts w:eastAsia="Calibri" w:cs="Arial"/>
          <w:lang w:val="en-US"/>
        </w:rPr>
        <w:t>organisations</w:t>
      </w:r>
      <w:proofErr w:type="spellEnd"/>
      <w:r w:rsidRPr="00817254">
        <w:rPr>
          <w:rFonts w:eastAsia="Calibri" w:cs="Arial"/>
          <w:lang w:val="en-US"/>
        </w:rPr>
        <w:t xml:space="preserve">. Journal of Community Psychology, 48(8), 2571–2588. </w:t>
      </w:r>
      <w:hyperlink r:id="rId33" w:history="1">
        <w:r w:rsidR="00817254" w:rsidRPr="00817254">
          <w:rPr>
            <w:rStyle w:val="Hipervnculo"/>
            <w:rFonts w:eastAsia="Calibri" w:cs="Arial"/>
            <w:u w:val="none"/>
            <w:lang w:val="en-US"/>
          </w:rPr>
          <w:t>https://doi.org/10.1002/jcop.22435</w:t>
        </w:r>
      </w:hyperlink>
      <w:r w:rsidR="00817254" w:rsidRPr="00817254">
        <w:rPr>
          <w:rFonts w:eastAsia="Calibri" w:cs="Arial"/>
          <w:lang w:val="en-US"/>
        </w:rPr>
        <w:t xml:space="preserve"> </w:t>
      </w:r>
    </w:p>
    <w:p w14:paraId="5F20DF2B" w14:textId="112CC169"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Manuti</w:t>
      </w:r>
      <w:proofErr w:type="spellEnd"/>
      <w:r w:rsidRPr="00817254">
        <w:rPr>
          <w:rFonts w:eastAsia="Calibri" w:cs="Arial"/>
          <w:lang w:val="en-US"/>
        </w:rPr>
        <w:t xml:space="preserve">, A., </w:t>
      </w:r>
      <w:proofErr w:type="spellStart"/>
      <w:r w:rsidRPr="00817254">
        <w:rPr>
          <w:rFonts w:eastAsia="Calibri" w:cs="Arial"/>
          <w:lang w:val="en-US"/>
        </w:rPr>
        <w:t>Impedovo</w:t>
      </w:r>
      <w:proofErr w:type="spellEnd"/>
      <w:r w:rsidRPr="00817254">
        <w:rPr>
          <w:rFonts w:eastAsia="Calibri" w:cs="Arial"/>
          <w:lang w:val="en-US"/>
        </w:rPr>
        <w:t xml:space="preserve">, M. A., &amp; de Palma, P. D. (2017). Managing social and human capital in organizations: Communities of practices as strategic tools for individual and organizational development. Journal of Workplace Learning, 29(3), 217–234. </w:t>
      </w:r>
      <w:hyperlink r:id="rId34" w:history="1">
        <w:r w:rsidR="00817254" w:rsidRPr="00817254">
          <w:rPr>
            <w:rStyle w:val="Hipervnculo"/>
            <w:rFonts w:eastAsia="Calibri" w:cs="Arial"/>
            <w:u w:val="none"/>
            <w:lang w:val="en-US"/>
          </w:rPr>
          <w:t>https://doi.org/10.1108/JWL-07-2016-0062</w:t>
        </w:r>
      </w:hyperlink>
      <w:r w:rsidR="00817254" w:rsidRPr="00817254">
        <w:rPr>
          <w:rFonts w:eastAsia="Calibri" w:cs="Arial"/>
          <w:lang w:val="en-US"/>
        </w:rPr>
        <w:t xml:space="preserve"> </w:t>
      </w:r>
    </w:p>
    <w:p w14:paraId="0B1E4B51" w14:textId="520BAB28"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Mosala</w:t>
      </w:r>
      <w:proofErr w:type="spellEnd"/>
      <w:r w:rsidRPr="00817254">
        <w:rPr>
          <w:rFonts w:eastAsia="Calibri" w:cs="Arial"/>
          <w:lang w:val="en-US"/>
        </w:rPr>
        <w:t xml:space="preserve">-Bryant, N. N., &amp; Hoskins, R. G. (2017). Motivational theory and knowledge sharing in the public service. SA Journal of Information Management, 19(1). </w:t>
      </w:r>
      <w:hyperlink r:id="rId35" w:history="1">
        <w:r w:rsidR="00817254" w:rsidRPr="00817254">
          <w:rPr>
            <w:rStyle w:val="Hipervnculo"/>
            <w:rFonts w:eastAsia="Calibri" w:cs="Arial"/>
            <w:u w:val="none"/>
            <w:lang w:val="en-US"/>
          </w:rPr>
          <w:t>https://doi.org/10.4102/sajim.v19i1.772</w:t>
        </w:r>
      </w:hyperlink>
      <w:r w:rsidR="00817254" w:rsidRPr="00817254">
        <w:rPr>
          <w:rFonts w:eastAsia="Calibri" w:cs="Arial"/>
          <w:lang w:val="en-US"/>
        </w:rPr>
        <w:t xml:space="preserve"> </w:t>
      </w:r>
    </w:p>
    <w:p w14:paraId="243C1BF9" w14:textId="3120B140"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Murnane</w:t>
      </w:r>
      <w:proofErr w:type="spellEnd"/>
      <w:r w:rsidRPr="00817254">
        <w:rPr>
          <w:rFonts w:eastAsia="Calibri" w:cs="Arial"/>
          <w:lang w:val="en-US"/>
        </w:rPr>
        <w:t xml:space="preserve">, S., &amp; Browne, A. (2016). From experience to knowledge in professional IT management education: exploring the applicability of classroom learning to real-life contexts. The Irish Journal of Management, 35(2), 165–175. </w:t>
      </w:r>
      <w:hyperlink r:id="rId36" w:history="1">
        <w:r w:rsidR="00817254" w:rsidRPr="00817254">
          <w:rPr>
            <w:rStyle w:val="Hipervnculo"/>
            <w:rFonts w:eastAsia="Calibri" w:cs="Arial"/>
            <w:u w:val="none"/>
            <w:lang w:val="en-US"/>
          </w:rPr>
          <w:t>https://doi.org/10.1515/ijm-2016-0012</w:t>
        </w:r>
      </w:hyperlink>
      <w:r w:rsidR="00817254" w:rsidRPr="00817254">
        <w:rPr>
          <w:rFonts w:eastAsia="Calibri" w:cs="Arial"/>
          <w:lang w:val="en-US"/>
        </w:rPr>
        <w:t xml:space="preserve"> </w:t>
      </w:r>
    </w:p>
    <w:p w14:paraId="3109E61E" w14:textId="54840B33" w:rsidR="007711AF" w:rsidRPr="00817254" w:rsidRDefault="007711AF" w:rsidP="007711AF">
      <w:pPr>
        <w:spacing w:after="0"/>
        <w:ind w:left="709" w:hanging="709"/>
        <w:rPr>
          <w:rFonts w:eastAsia="Calibri" w:cs="Arial"/>
          <w:lang w:val="es-EC"/>
        </w:rPr>
      </w:pPr>
      <w:proofErr w:type="spellStart"/>
      <w:r w:rsidRPr="00817254">
        <w:rPr>
          <w:rFonts w:eastAsia="Calibri" w:cs="Arial"/>
          <w:lang w:val="en-US"/>
        </w:rPr>
        <w:t>Musteen</w:t>
      </w:r>
      <w:proofErr w:type="spellEnd"/>
      <w:r w:rsidRPr="00817254">
        <w:rPr>
          <w:rFonts w:eastAsia="Calibri" w:cs="Arial"/>
          <w:lang w:val="en-US"/>
        </w:rPr>
        <w:t xml:space="preserve">, M., Curran, R., </w:t>
      </w:r>
      <w:proofErr w:type="spellStart"/>
      <w:r w:rsidRPr="00817254">
        <w:rPr>
          <w:rFonts w:eastAsia="Calibri" w:cs="Arial"/>
          <w:lang w:val="en-US"/>
        </w:rPr>
        <w:t>Arroteia</w:t>
      </w:r>
      <w:proofErr w:type="spellEnd"/>
      <w:r w:rsidRPr="00817254">
        <w:rPr>
          <w:rFonts w:eastAsia="Calibri" w:cs="Arial"/>
          <w:lang w:val="en-US"/>
        </w:rPr>
        <w:t xml:space="preserve">, N., </w:t>
      </w:r>
      <w:proofErr w:type="spellStart"/>
      <w:r w:rsidRPr="00817254">
        <w:rPr>
          <w:rFonts w:eastAsia="Calibri" w:cs="Arial"/>
          <w:lang w:val="en-US"/>
        </w:rPr>
        <w:t>Ripollés</w:t>
      </w:r>
      <w:proofErr w:type="spellEnd"/>
      <w:r w:rsidRPr="00817254">
        <w:rPr>
          <w:rFonts w:eastAsia="Calibri" w:cs="Arial"/>
          <w:lang w:val="en-US"/>
        </w:rPr>
        <w:t xml:space="preserve">, M., &amp; </w:t>
      </w:r>
      <w:proofErr w:type="spellStart"/>
      <w:r w:rsidRPr="00817254">
        <w:rPr>
          <w:rFonts w:eastAsia="Calibri" w:cs="Arial"/>
          <w:lang w:val="en-US"/>
        </w:rPr>
        <w:t>Blesa</w:t>
      </w:r>
      <w:proofErr w:type="spellEnd"/>
      <w:r w:rsidRPr="00817254">
        <w:rPr>
          <w:rFonts w:eastAsia="Calibri" w:cs="Arial"/>
          <w:lang w:val="en-US"/>
        </w:rPr>
        <w:t xml:space="preserve">, A. (2018). A Community of Practice Approach to Teaching International Entrepreneurship. Administrative Sciences, 8(4), 56. </w:t>
      </w:r>
      <w:hyperlink r:id="rId37" w:history="1">
        <w:r w:rsidR="00817254" w:rsidRPr="00817254">
          <w:rPr>
            <w:rStyle w:val="Hipervnculo"/>
            <w:rFonts w:eastAsia="Calibri" w:cs="Arial"/>
            <w:u w:val="none"/>
            <w:lang w:val="es-EC"/>
          </w:rPr>
          <w:t>https://doi.org/10.3390/admsci8040056</w:t>
        </w:r>
      </w:hyperlink>
      <w:r w:rsidR="00817254" w:rsidRPr="00817254">
        <w:rPr>
          <w:rFonts w:eastAsia="Calibri" w:cs="Arial"/>
          <w:lang w:val="es-EC"/>
        </w:rPr>
        <w:t xml:space="preserve">  </w:t>
      </w:r>
    </w:p>
    <w:p w14:paraId="63CDCB63" w14:textId="4151AE6F" w:rsidR="007711AF" w:rsidRPr="00626685" w:rsidRDefault="007711AF" w:rsidP="007711AF">
      <w:pPr>
        <w:spacing w:after="0"/>
        <w:ind w:left="709" w:hanging="709"/>
        <w:rPr>
          <w:rFonts w:eastAsia="Calibri" w:cs="Arial"/>
        </w:rPr>
      </w:pPr>
      <w:proofErr w:type="spellStart"/>
      <w:r w:rsidRPr="00817254">
        <w:rPr>
          <w:rFonts w:eastAsia="Calibri" w:cs="Arial"/>
          <w:lang w:val="en-US"/>
        </w:rPr>
        <w:t>Ponsford</w:t>
      </w:r>
      <w:proofErr w:type="spellEnd"/>
      <w:r w:rsidRPr="00817254">
        <w:rPr>
          <w:rFonts w:eastAsia="Calibri" w:cs="Arial"/>
          <w:lang w:val="en-US"/>
        </w:rPr>
        <w:t xml:space="preserve">, R., Ford, J., </w:t>
      </w:r>
      <w:proofErr w:type="spellStart"/>
      <w:r w:rsidRPr="00817254">
        <w:rPr>
          <w:rFonts w:eastAsia="Calibri" w:cs="Arial"/>
          <w:lang w:val="en-US"/>
        </w:rPr>
        <w:t>Korjonen</w:t>
      </w:r>
      <w:proofErr w:type="spellEnd"/>
      <w:r w:rsidRPr="00817254">
        <w:rPr>
          <w:rFonts w:eastAsia="Calibri" w:cs="Arial"/>
          <w:lang w:val="en-US"/>
        </w:rPr>
        <w:t xml:space="preserve">, H., Hughes, E., </w:t>
      </w:r>
      <w:proofErr w:type="spellStart"/>
      <w:r w:rsidRPr="00817254">
        <w:rPr>
          <w:rFonts w:eastAsia="Calibri" w:cs="Arial"/>
          <w:lang w:val="en-US"/>
        </w:rPr>
        <w:t>Keswani</w:t>
      </w:r>
      <w:proofErr w:type="spellEnd"/>
      <w:r w:rsidRPr="00817254">
        <w:rPr>
          <w:rFonts w:eastAsia="Calibri" w:cs="Arial"/>
          <w:lang w:val="en-US"/>
        </w:rPr>
        <w:t xml:space="preserve">, A., </w:t>
      </w:r>
      <w:proofErr w:type="spellStart"/>
      <w:r w:rsidRPr="00817254">
        <w:rPr>
          <w:rFonts w:eastAsia="Calibri" w:cs="Arial"/>
          <w:lang w:val="en-US"/>
        </w:rPr>
        <w:t>Pliakas</w:t>
      </w:r>
      <w:proofErr w:type="spellEnd"/>
      <w:r w:rsidRPr="00817254">
        <w:rPr>
          <w:rFonts w:eastAsia="Calibri" w:cs="Arial"/>
          <w:lang w:val="en-US"/>
        </w:rPr>
        <w:t>, T., &amp; Egan, M. (2017). Competing for space in an already crowded market: A mixed methods study of why an online community of practice (</w:t>
      </w:r>
      <w:proofErr w:type="spellStart"/>
      <w:r w:rsidRPr="00817254">
        <w:rPr>
          <w:rFonts w:eastAsia="Calibri" w:cs="Arial"/>
          <w:lang w:val="en-US"/>
        </w:rPr>
        <w:t>CoP</w:t>
      </w:r>
      <w:proofErr w:type="spellEnd"/>
      <w:r w:rsidRPr="00817254">
        <w:rPr>
          <w:rFonts w:eastAsia="Calibri" w:cs="Arial"/>
          <w:lang w:val="en-US"/>
        </w:rPr>
        <w:t xml:space="preserve">) for alcohol harm reduction failed to generate interest amongst the group of public health professionals at which it was aimed. </w:t>
      </w:r>
      <w:proofErr w:type="spellStart"/>
      <w:r w:rsidRPr="00626685">
        <w:rPr>
          <w:rFonts w:eastAsia="Calibri" w:cs="Arial"/>
        </w:rPr>
        <w:t>Implementation</w:t>
      </w:r>
      <w:proofErr w:type="spellEnd"/>
      <w:r w:rsidRPr="00626685">
        <w:rPr>
          <w:rFonts w:eastAsia="Calibri" w:cs="Arial"/>
        </w:rPr>
        <w:t xml:space="preserve"> </w:t>
      </w:r>
      <w:proofErr w:type="spellStart"/>
      <w:r w:rsidRPr="00626685">
        <w:rPr>
          <w:rFonts w:eastAsia="Calibri" w:cs="Arial"/>
        </w:rPr>
        <w:t>Science</w:t>
      </w:r>
      <w:proofErr w:type="spellEnd"/>
      <w:r w:rsidRPr="00626685">
        <w:rPr>
          <w:rFonts w:eastAsia="Calibri" w:cs="Arial"/>
        </w:rPr>
        <w:t xml:space="preserve">, 12(1). </w:t>
      </w:r>
      <w:hyperlink r:id="rId38" w:history="1">
        <w:r w:rsidR="00817254" w:rsidRPr="00626685">
          <w:rPr>
            <w:rStyle w:val="Hipervnculo"/>
            <w:rFonts w:eastAsia="Calibri" w:cs="Arial"/>
            <w:u w:val="none"/>
          </w:rPr>
          <w:t>https://doi.org/10.1186/s13012-017-0622-8</w:t>
        </w:r>
      </w:hyperlink>
      <w:r w:rsidR="00817254" w:rsidRPr="00626685">
        <w:rPr>
          <w:rFonts w:eastAsia="Calibri" w:cs="Arial"/>
        </w:rPr>
        <w:t xml:space="preserve"> </w:t>
      </w:r>
    </w:p>
    <w:p w14:paraId="69008189" w14:textId="69CB6DCE" w:rsidR="007711AF" w:rsidRPr="00817254" w:rsidRDefault="007711AF" w:rsidP="007711AF">
      <w:pPr>
        <w:spacing w:after="0"/>
        <w:ind w:left="709" w:hanging="709"/>
        <w:rPr>
          <w:rFonts w:eastAsia="Calibri" w:cs="Arial"/>
          <w:lang w:val="en-US"/>
        </w:rPr>
      </w:pPr>
      <w:r w:rsidRPr="00626685">
        <w:rPr>
          <w:rFonts w:eastAsia="Calibri" w:cs="Arial"/>
        </w:rPr>
        <w:lastRenderedPageBreak/>
        <w:t xml:space="preserve">Racionero-Plaza, S., &amp; Puig, P. (2017). </w:t>
      </w:r>
      <w:r w:rsidRPr="00817254">
        <w:rPr>
          <w:rFonts w:eastAsia="Calibri" w:cs="Arial"/>
          <w:lang w:val="es-EC"/>
        </w:rPr>
        <w:t xml:space="preserve">La Confluencia entre Comunidades de Aprendizaje y otros Proyectos: El Caso de los CRFA en Perú y Guatemala. </w:t>
      </w:r>
      <w:r w:rsidRPr="00817254">
        <w:rPr>
          <w:rFonts w:eastAsia="Calibri" w:cs="Arial"/>
          <w:lang w:val="en-US"/>
        </w:rPr>
        <w:t xml:space="preserve">Multidisciplinary Journal of Educational Research, 7(3), 339. </w:t>
      </w:r>
      <w:hyperlink r:id="rId39" w:history="1">
        <w:r w:rsidR="00817254" w:rsidRPr="00817254">
          <w:rPr>
            <w:rStyle w:val="Hipervnculo"/>
            <w:rFonts w:eastAsia="Calibri" w:cs="Arial"/>
            <w:u w:val="none"/>
            <w:lang w:val="en-US"/>
          </w:rPr>
          <w:t>https://doi.org/10.17583/remie.2017.3023</w:t>
        </w:r>
      </w:hyperlink>
      <w:r w:rsidR="00817254" w:rsidRPr="00817254">
        <w:rPr>
          <w:rFonts w:eastAsia="Calibri" w:cs="Arial"/>
          <w:lang w:val="en-US"/>
        </w:rPr>
        <w:t xml:space="preserve"> </w:t>
      </w:r>
    </w:p>
    <w:p w14:paraId="5376462D" w14:textId="5E8E4979" w:rsidR="007711AF" w:rsidRPr="00817254" w:rsidRDefault="007711AF" w:rsidP="007711AF">
      <w:pPr>
        <w:spacing w:after="0"/>
        <w:ind w:left="709" w:hanging="709"/>
        <w:rPr>
          <w:rFonts w:eastAsia="Calibri" w:cs="Arial"/>
          <w:lang w:val="en-US"/>
        </w:rPr>
      </w:pPr>
      <w:r w:rsidRPr="00817254">
        <w:rPr>
          <w:rFonts w:eastAsia="Calibri" w:cs="Arial"/>
          <w:lang w:val="en-US"/>
        </w:rPr>
        <w:t xml:space="preserve">Roberts, L. (2021). “This Is Just What We Do”: PhD Students on Becoming Scholars in a Community of Practice. Communications in Information Literacy, 15(1), 75–94. </w:t>
      </w:r>
      <w:hyperlink r:id="rId40" w:history="1">
        <w:r w:rsidR="00817254" w:rsidRPr="00817254">
          <w:rPr>
            <w:rStyle w:val="Hipervnculo"/>
            <w:rFonts w:eastAsia="Calibri" w:cs="Arial"/>
            <w:u w:val="none"/>
            <w:lang w:val="en-US"/>
          </w:rPr>
          <w:t>https://doi.org/10.15760/comminfolit.2021.15.1.4</w:t>
        </w:r>
      </w:hyperlink>
      <w:r w:rsidR="00817254" w:rsidRPr="00817254">
        <w:rPr>
          <w:rFonts w:eastAsia="Calibri" w:cs="Arial"/>
          <w:lang w:val="en-US"/>
        </w:rPr>
        <w:t xml:space="preserve"> </w:t>
      </w:r>
    </w:p>
    <w:p w14:paraId="7B6F0B47" w14:textId="0B90178D" w:rsidR="007711AF" w:rsidRPr="00626685" w:rsidRDefault="007711AF" w:rsidP="007711AF">
      <w:pPr>
        <w:spacing w:after="0"/>
        <w:ind w:left="709" w:hanging="709"/>
        <w:rPr>
          <w:rFonts w:eastAsia="Calibri" w:cs="Arial"/>
        </w:rPr>
      </w:pPr>
      <w:proofErr w:type="spellStart"/>
      <w:r w:rsidRPr="00817254">
        <w:rPr>
          <w:rFonts w:eastAsia="Calibri" w:cs="Arial"/>
          <w:lang w:val="en-US"/>
        </w:rPr>
        <w:t>Roulleaux</w:t>
      </w:r>
      <w:proofErr w:type="spellEnd"/>
      <w:r w:rsidRPr="00817254">
        <w:rPr>
          <w:rFonts w:eastAsia="Calibri" w:cs="Arial"/>
          <w:lang w:val="en-US"/>
        </w:rPr>
        <w:t xml:space="preserve">, M. (2008). </w:t>
      </w:r>
      <w:proofErr w:type="spellStart"/>
      <w:r w:rsidRPr="00817254">
        <w:rPr>
          <w:rFonts w:eastAsia="Calibri" w:cs="Arial"/>
          <w:lang w:val="en-US"/>
        </w:rPr>
        <w:t>Organisation</w:t>
      </w:r>
      <w:proofErr w:type="spellEnd"/>
      <w:r w:rsidRPr="00817254">
        <w:rPr>
          <w:rFonts w:eastAsia="Calibri" w:cs="Arial"/>
          <w:lang w:val="en-US"/>
        </w:rPr>
        <w:t xml:space="preserve"> 2.0 - Le knowledge management nouvelle </w:t>
      </w:r>
      <w:proofErr w:type="spellStart"/>
      <w:r w:rsidRPr="00817254">
        <w:rPr>
          <w:rFonts w:eastAsia="Calibri" w:cs="Arial"/>
          <w:lang w:val="en-US"/>
        </w:rPr>
        <w:t>génération</w:t>
      </w:r>
      <w:proofErr w:type="spellEnd"/>
      <w:r w:rsidRPr="00817254">
        <w:rPr>
          <w:rFonts w:eastAsia="Calibri" w:cs="Arial"/>
          <w:lang w:val="en-US"/>
        </w:rPr>
        <w:t xml:space="preserve">. </w:t>
      </w:r>
      <w:hyperlink r:id="rId41" w:history="1">
        <w:r w:rsidR="00817254" w:rsidRPr="00626685">
          <w:rPr>
            <w:rStyle w:val="Hipervnculo"/>
            <w:rFonts w:eastAsia="Calibri" w:cs="Arial"/>
            <w:u w:val="none"/>
          </w:rPr>
          <w:t>http://livre21.com/LIVREF/F34/F034080.pdf</w:t>
        </w:r>
      </w:hyperlink>
      <w:r w:rsidR="00817254" w:rsidRPr="00626685">
        <w:rPr>
          <w:rFonts w:eastAsia="Calibri" w:cs="Arial"/>
        </w:rPr>
        <w:t xml:space="preserve"> </w:t>
      </w:r>
    </w:p>
    <w:p w14:paraId="6E10A850" w14:textId="2F8FC7F9" w:rsidR="007711AF" w:rsidRPr="00817254" w:rsidRDefault="007711AF" w:rsidP="007711AF">
      <w:pPr>
        <w:spacing w:after="0"/>
        <w:ind w:left="709" w:hanging="709"/>
        <w:rPr>
          <w:rFonts w:eastAsia="Calibri" w:cs="Arial"/>
          <w:lang w:val="en-US"/>
        </w:rPr>
      </w:pPr>
      <w:proofErr w:type="spellStart"/>
      <w:r w:rsidRPr="00817254">
        <w:rPr>
          <w:rFonts w:eastAsia="Calibri" w:cs="Arial"/>
          <w:lang w:val="es-EC"/>
        </w:rPr>
        <w:t>Seyednazari</w:t>
      </w:r>
      <w:proofErr w:type="spellEnd"/>
      <w:r w:rsidRPr="00817254">
        <w:rPr>
          <w:rFonts w:eastAsia="Calibri" w:cs="Arial"/>
          <w:lang w:val="es-EC"/>
        </w:rPr>
        <w:t xml:space="preserve">, N., </w:t>
      </w:r>
      <w:proofErr w:type="spellStart"/>
      <w:r w:rsidRPr="00817254">
        <w:rPr>
          <w:rFonts w:eastAsia="Calibri" w:cs="Arial"/>
          <w:lang w:val="es-EC"/>
        </w:rPr>
        <w:t>Maleki</w:t>
      </w:r>
      <w:proofErr w:type="spellEnd"/>
      <w:r w:rsidRPr="00817254">
        <w:rPr>
          <w:rFonts w:eastAsia="Calibri" w:cs="Arial"/>
          <w:lang w:val="es-EC"/>
        </w:rPr>
        <w:t xml:space="preserve"> </w:t>
      </w:r>
      <w:proofErr w:type="spellStart"/>
      <w:r w:rsidRPr="00817254">
        <w:rPr>
          <w:rFonts w:eastAsia="Calibri" w:cs="Arial"/>
          <w:lang w:val="es-EC"/>
        </w:rPr>
        <w:t>Avarsin</w:t>
      </w:r>
      <w:proofErr w:type="spellEnd"/>
      <w:r w:rsidRPr="00817254">
        <w:rPr>
          <w:rFonts w:eastAsia="Calibri" w:cs="Arial"/>
          <w:lang w:val="es-EC"/>
        </w:rPr>
        <w:t xml:space="preserve">, S., &amp; </w:t>
      </w:r>
      <w:proofErr w:type="spellStart"/>
      <w:r w:rsidRPr="00817254">
        <w:rPr>
          <w:rFonts w:eastAsia="Calibri" w:cs="Arial"/>
          <w:lang w:val="es-EC"/>
        </w:rPr>
        <w:t>Yari</w:t>
      </w:r>
      <w:proofErr w:type="spellEnd"/>
      <w:r w:rsidRPr="00817254">
        <w:rPr>
          <w:rFonts w:eastAsia="Calibri" w:cs="Arial"/>
          <w:lang w:val="es-EC"/>
        </w:rPr>
        <w:t xml:space="preserve"> </w:t>
      </w:r>
      <w:proofErr w:type="spellStart"/>
      <w:r w:rsidRPr="00817254">
        <w:rPr>
          <w:rFonts w:eastAsia="Calibri" w:cs="Arial"/>
          <w:lang w:val="es-EC"/>
        </w:rPr>
        <w:t>Haj</w:t>
      </w:r>
      <w:proofErr w:type="spellEnd"/>
      <w:r w:rsidRPr="00817254">
        <w:rPr>
          <w:rFonts w:eastAsia="Calibri" w:cs="Arial"/>
          <w:lang w:val="es-EC"/>
        </w:rPr>
        <w:t xml:space="preserve"> </w:t>
      </w:r>
      <w:proofErr w:type="spellStart"/>
      <w:r w:rsidRPr="00817254">
        <w:rPr>
          <w:rFonts w:eastAsia="Calibri" w:cs="Arial"/>
          <w:lang w:val="es-EC"/>
        </w:rPr>
        <w:t>Atalou</w:t>
      </w:r>
      <w:proofErr w:type="spellEnd"/>
      <w:r w:rsidRPr="00817254">
        <w:rPr>
          <w:rFonts w:eastAsia="Calibri" w:cs="Arial"/>
          <w:lang w:val="es-EC"/>
        </w:rPr>
        <w:t xml:space="preserve">, J. (2018). </w:t>
      </w:r>
      <w:r w:rsidRPr="00817254">
        <w:rPr>
          <w:rFonts w:eastAsia="Calibri" w:cs="Arial"/>
          <w:lang w:val="en-US"/>
        </w:rPr>
        <w:t xml:space="preserve">Developing Communities of Practice Model to Enhance Knowledge and Improve Learning among Faculty Members (Case Study: Tabriz University of Medical Sciences). Research and Development in Medical Education, 7(2), 82–90. </w:t>
      </w:r>
      <w:hyperlink r:id="rId42" w:history="1">
        <w:r w:rsidR="00817254" w:rsidRPr="00817254">
          <w:rPr>
            <w:rStyle w:val="Hipervnculo"/>
            <w:rFonts w:eastAsia="Calibri" w:cs="Arial"/>
            <w:u w:val="none"/>
            <w:lang w:val="en-US"/>
          </w:rPr>
          <w:t>https://doi.org/10.15171/rdme.2018.017</w:t>
        </w:r>
      </w:hyperlink>
      <w:r w:rsidR="00817254" w:rsidRPr="00817254">
        <w:rPr>
          <w:rFonts w:eastAsia="Calibri" w:cs="Arial"/>
          <w:lang w:val="en-US"/>
        </w:rPr>
        <w:t xml:space="preserve"> </w:t>
      </w:r>
    </w:p>
    <w:p w14:paraId="1015F948" w14:textId="77777777" w:rsidR="007711AF" w:rsidRPr="00817254" w:rsidRDefault="007711AF" w:rsidP="007711AF">
      <w:pPr>
        <w:spacing w:after="0"/>
        <w:ind w:left="709" w:hanging="709"/>
        <w:rPr>
          <w:rFonts w:eastAsia="Calibri" w:cs="Arial"/>
          <w:lang w:val="en-US"/>
        </w:rPr>
      </w:pPr>
      <w:proofErr w:type="spellStart"/>
      <w:r w:rsidRPr="00817254">
        <w:rPr>
          <w:rFonts w:eastAsia="Calibri" w:cs="Arial"/>
          <w:lang w:val="es-EC"/>
        </w:rPr>
        <w:t>Sigala</w:t>
      </w:r>
      <w:proofErr w:type="spellEnd"/>
      <w:r w:rsidRPr="00817254">
        <w:rPr>
          <w:rFonts w:eastAsia="Calibri" w:cs="Arial"/>
          <w:lang w:val="es-EC"/>
        </w:rPr>
        <w:t xml:space="preserve">, P., María, L., &amp; </w:t>
      </w:r>
      <w:proofErr w:type="spellStart"/>
      <w:r w:rsidRPr="00817254">
        <w:rPr>
          <w:rFonts w:eastAsia="Calibri" w:cs="Arial"/>
          <w:lang w:val="es-EC"/>
        </w:rPr>
        <w:t>Roaro</w:t>
      </w:r>
      <w:proofErr w:type="spellEnd"/>
      <w:r w:rsidRPr="00817254">
        <w:rPr>
          <w:rFonts w:eastAsia="Calibri" w:cs="Arial"/>
          <w:lang w:val="es-EC"/>
        </w:rPr>
        <w:t xml:space="preserve">, Z. (2019). </w:t>
      </w:r>
      <w:r w:rsidRPr="00817254">
        <w:rPr>
          <w:rFonts w:eastAsia="Calibri" w:cs="Arial"/>
          <w:lang w:val="en-US"/>
        </w:rPr>
        <w:t>Improving the Praxis of Conversation Club Leaders in a Community of Practice: A Case Study in a Self-Access Centre (Vol. 10, Issue 2).</w:t>
      </w:r>
    </w:p>
    <w:p w14:paraId="3608E825" w14:textId="26DF8C83" w:rsidR="007711AF" w:rsidRPr="00817254" w:rsidRDefault="007711AF" w:rsidP="007711AF">
      <w:pPr>
        <w:spacing w:after="0"/>
        <w:ind w:left="709" w:hanging="709"/>
        <w:rPr>
          <w:rFonts w:eastAsia="Calibri" w:cs="Arial"/>
          <w:lang w:val="es-EC"/>
        </w:rPr>
      </w:pPr>
      <w:proofErr w:type="spellStart"/>
      <w:r w:rsidRPr="00817254">
        <w:rPr>
          <w:rFonts w:eastAsia="Calibri" w:cs="Arial"/>
          <w:lang w:val="en-US"/>
        </w:rPr>
        <w:t>Sztangret</w:t>
      </w:r>
      <w:proofErr w:type="spellEnd"/>
      <w:r w:rsidRPr="00817254">
        <w:rPr>
          <w:rFonts w:eastAsia="Calibri" w:cs="Arial"/>
          <w:lang w:val="en-US"/>
        </w:rPr>
        <w:t xml:space="preserve">, I. (2016). Social media as a just-in-time-marketing--knowledge-diffusion tool on the example of it sector. </w:t>
      </w:r>
      <w:proofErr w:type="spellStart"/>
      <w:r w:rsidRPr="00817254">
        <w:rPr>
          <w:rFonts w:eastAsia="Calibri" w:cs="Arial"/>
          <w:lang w:val="es-EC"/>
        </w:rPr>
        <w:t>Oeconomia</w:t>
      </w:r>
      <w:proofErr w:type="spellEnd"/>
      <w:r w:rsidRPr="00817254">
        <w:rPr>
          <w:rFonts w:eastAsia="Calibri" w:cs="Arial"/>
          <w:lang w:val="es-EC"/>
        </w:rPr>
        <w:t xml:space="preserve">, 15(4), 157–169. </w:t>
      </w:r>
      <w:hyperlink r:id="rId43" w:history="1">
        <w:r w:rsidR="00817254" w:rsidRPr="00817254">
          <w:rPr>
            <w:rStyle w:val="Hipervnculo"/>
            <w:rFonts w:eastAsia="Calibri" w:cs="Arial"/>
            <w:u w:val="none"/>
            <w:lang w:val="es-EC"/>
          </w:rPr>
          <w:t>https://bit.ly/41faOhn</w:t>
        </w:r>
      </w:hyperlink>
      <w:r w:rsidR="00817254" w:rsidRPr="00817254">
        <w:rPr>
          <w:rFonts w:eastAsia="Calibri" w:cs="Arial"/>
          <w:lang w:val="es-EC"/>
        </w:rPr>
        <w:t xml:space="preserve"> </w:t>
      </w:r>
    </w:p>
    <w:p w14:paraId="0EBE94A2" w14:textId="4440106A" w:rsidR="007711AF" w:rsidRPr="00817254" w:rsidRDefault="007711AF" w:rsidP="007711AF">
      <w:pPr>
        <w:spacing w:after="0"/>
        <w:ind w:left="709" w:hanging="709"/>
        <w:rPr>
          <w:rFonts w:eastAsia="Calibri" w:cs="Arial"/>
          <w:lang w:val="es-EC"/>
        </w:rPr>
      </w:pPr>
      <w:r w:rsidRPr="00817254">
        <w:rPr>
          <w:rFonts w:eastAsia="Calibri" w:cs="Arial"/>
          <w:lang w:val="es-EC"/>
        </w:rPr>
        <w:t xml:space="preserve">Vieira, M. C. (2019). Comunidades de </w:t>
      </w:r>
      <w:proofErr w:type="spellStart"/>
      <w:r w:rsidRPr="00817254">
        <w:rPr>
          <w:rFonts w:eastAsia="Calibri" w:cs="Arial"/>
          <w:lang w:val="es-EC"/>
        </w:rPr>
        <w:t>práticas</w:t>
      </w:r>
      <w:proofErr w:type="spellEnd"/>
      <w:r w:rsidRPr="00817254">
        <w:rPr>
          <w:rFonts w:eastAsia="Calibri" w:cs="Arial"/>
          <w:lang w:val="es-EC"/>
        </w:rPr>
        <w:t xml:space="preserve"> como </w:t>
      </w:r>
      <w:proofErr w:type="spellStart"/>
      <w:r w:rsidRPr="00817254">
        <w:rPr>
          <w:rFonts w:eastAsia="Calibri" w:cs="Arial"/>
          <w:lang w:val="es-EC"/>
        </w:rPr>
        <w:t>espaços</w:t>
      </w:r>
      <w:proofErr w:type="spellEnd"/>
      <w:r w:rsidRPr="00817254">
        <w:rPr>
          <w:rFonts w:eastAsia="Calibri" w:cs="Arial"/>
          <w:lang w:val="es-EC"/>
        </w:rPr>
        <w:t xml:space="preserve"> de </w:t>
      </w:r>
      <w:proofErr w:type="spellStart"/>
      <w:r w:rsidRPr="00817254">
        <w:rPr>
          <w:rFonts w:eastAsia="Calibri" w:cs="Arial"/>
          <w:lang w:val="es-EC"/>
        </w:rPr>
        <w:t>formação</w:t>
      </w:r>
      <w:proofErr w:type="spellEnd"/>
      <w:r w:rsidRPr="00817254">
        <w:rPr>
          <w:rFonts w:eastAsia="Calibri" w:cs="Arial"/>
          <w:lang w:val="es-EC"/>
        </w:rPr>
        <w:t xml:space="preserve"> inicial na </w:t>
      </w:r>
      <w:proofErr w:type="spellStart"/>
      <w:r w:rsidRPr="00817254">
        <w:rPr>
          <w:rFonts w:eastAsia="Calibri" w:cs="Arial"/>
          <w:lang w:val="es-EC"/>
        </w:rPr>
        <w:t>educação</w:t>
      </w:r>
      <w:proofErr w:type="spellEnd"/>
      <w:r w:rsidRPr="00817254">
        <w:rPr>
          <w:rFonts w:eastAsia="Calibri" w:cs="Arial"/>
          <w:lang w:val="es-EC"/>
        </w:rPr>
        <w:t xml:space="preserve"> de </w:t>
      </w:r>
      <w:proofErr w:type="spellStart"/>
      <w:r w:rsidRPr="00817254">
        <w:rPr>
          <w:rFonts w:eastAsia="Calibri" w:cs="Arial"/>
          <w:lang w:val="es-EC"/>
        </w:rPr>
        <w:t>jovens</w:t>
      </w:r>
      <w:proofErr w:type="spellEnd"/>
      <w:r w:rsidRPr="00817254">
        <w:rPr>
          <w:rFonts w:eastAsia="Calibri" w:cs="Arial"/>
          <w:lang w:val="es-EC"/>
        </w:rPr>
        <w:t xml:space="preserve"> e adultos. Revista Ibero-</w:t>
      </w:r>
      <w:proofErr w:type="gramStart"/>
      <w:r w:rsidRPr="00817254">
        <w:rPr>
          <w:rFonts w:eastAsia="Calibri" w:cs="Arial"/>
          <w:lang w:val="es-EC"/>
        </w:rPr>
        <w:t>Americana</w:t>
      </w:r>
      <w:proofErr w:type="gramEnd"/>
      <w:r w:rsidRPr="00817254">
        <w:rPr>
          <w:rFonts w:eastAsia="Calibri" w:cs="Arial"/>
          <w:lang w:val="es-EC"/>
        </w:rPr>
        <w:t xml:space="preserve"> de </w:t>
      </w:r>
      <w:proofErr w:type="spellStart"/>
      <w:r w:rsidRPr="00817254">
        <w:rPr>
          <w:rFonts w:eastAsia="Calibri" w:cs="Arial"/>
          <w:lang w:val="es-EC"/>
        </w:rPr>
        <w:t>Estudos</w:t>
      </w:r>
      <w:proofErr w:type="spellEnd"/>
      <w:r w:rsidRPr="00817254">
        <w:rPr>
          <w:rFonts w:eastAsia="Calibri" w:cs="Arial"/>
          <w:lang w:val="es-EC"/>
        </w:rPr>
        <w:t xml:space="preserve"> </w:t>
      </w:r>
      <w:proofErr w:type="spellStart"/>
      <w:r w:rsidRPr="00817254">
        <w:rPr>
          <w:rFonts w:eastAsia="Calibri" w:cs="Arial"/>
          <w:lang w:val="es-EC"/>
        </w:rPr>
        <w:t>Em</w:t>
      </w:r>
      <w:proofErr w:type="spellEnd"/>
      <w:r w:rsidRPr="00817254">
        <w:rPr>
          <w:rFonts w:eastAsia="Calibri" w:cs="Arial"/>
          <w:lang w:val="es-EC"/>
        </w:rPr>
        <w:t xml:space="preserve"> </w:t>
      </w:r>
      <w:proofErr w:type="spellStart"/>
      <w:r w:rsidRPr="00817254">
        <w:rPr>
          <w:rFonts w:eastAsia="Calibri" w:cs="Arial"/>
          <w:lang w:val="es-EC"/>
        </w:rPr>
        <w:t>Educação</w:t>
      </w:r>
      <w:proofErr w:type="spellEnd"/>
      <w:r w:rsidRPr="00817254">
        <w:rPr>
          <w:rFonts w:eastAsia="Calibri" w:cs="Arial"/>
          <w:lang w:val="es-EC"/>
        </w:rPr>
        <w:t xml:space="preserve">, 14(3), 1015–1029. </w:t>
      </w:r>
      <w:hyperlink r:id="rId44" w:history="1">
        <w:r w:rsidR="00817254" w:rsidRPr="00817254">
          <w:rPr>
            <w:rStyle w:val="Hipervnculo"/>
            <w:rFonts w:eastAsia="Calibri" w:cs="Arial"/>
            <w:u w:val="none"/>
            <w:lang w:val="es-EC"/>
          </w:rPr>
          <w:t>https://doi.org/10.21723/riaee.v14i3.11139</w:t>
        </w:r>
      </w:hyperlink>
      <w:r w:rsidR="00817254" w:rsidRPr="00817254">
        <w:rPr>
          <w:rFonts w:eastAsia="Calibri" w:cs="Arial"/>
          <w:lang w:val="es-EC"/>
        </w:rPr>
        <w:t xml:space="preserve"> </w:t>
      </w:r>
    </w:p>
    <w:p w14:paraId="4058BF60" w14:textId="0688ACC6" w:rsidR="007711AF" w:rsidRPr="00817254" w:rsidRDefault="007711AF" w:rsidP="007711AF">
      <w:pPr>
        <w:spacing w:after="0"/>
        <w:ind w:left="709" w:hanging="709"/>
        <w:rPr>
          <w:rFonts w:eastAsia="Calibri" w:cs="Arial"/>
          <w:lang w:val="en-US"/>
        </w:rPr>
      </w:pPr>
      <w:proofErr w:type="spellStart"/>
      <w:r w:rsidRPr="00817254">
        <w:rPr>
          <w:rFonts w:eastAsia="Calibri" w:cs="Arial"/>
          <w:lang w:val="en-US"/>
        </w:rPr>
        <w:t>Waris</w:t>
      </w:r>
      <w:proofErr w:type="spellEnd"/>
      <w:r w:rsidRPr="00817254">
        <w:rPr>
          <w:rFonts w:eastAsia="Calibri" w:cs="Arial"/>
          <w:lang w:val="en-US"/>
        </w:rPr>
        <w:t xml:space="preserve">, M. M., Sanin, C., &amp; </w:t>
      </w:r>
      <w:proofErr w:type="spellStart"/>
      <w:r w:rsidRPr="00817254">
        <w:rPr>
          <w:rFonts w:eastAsia="Calibri" w:cs="Arial"/>
          <w:lang w:val="en-US"/>
        </w:rPr>
        <w:t>Szczerbicki</w:t>
      </w:r>
      <w:proofErr w:type="spellEnd"/>
      <w:r w:rsidRPr="00817254">
        <w:rPr>
          <w:rFonts w:eastAsia="Calibri" w:cs="Arial"/>
          <w:lang w:val="en-US"/>
        </w:rPr>
        <w:t xml:space="preserve">, E. (2019). Establishing intelligent enterprise through community of practice for product innovation. Journal of Intelligent and Fuzzy Systems, 37(6), 7169–7178. </w:t>
      </w:r>
      <w:hyperlink r:id="rId45" w:history="1">
        <w:r w:rsidR="00817254" w:rsidRPr="00817254">
          <w:rPr>
            <w:rStyle w:val="Hipervnculo"/>
            <w:rFonts w:eastAsia="Calibri" w:cs="Arial"/>
            <w:u w:val="none"/>
            <w:lang w:val="en-US"/>
          </w:rPr>
          <w:t>https://doi.org/10.3233/JIFS-179329</w:t>
        </w:r>
      </w:hyperlink>
      <w:r w:rsidR="00817254" w:rsidRPr="00817254">
        <w:rPr>
          <w:rFonts w:eastAsia="Calibri" w:cs="Arial"/>
          <w:lang w:val="en-US"/>
        </w:rPr>
        <w:t xml:space="preserve"> </w:t>
      </w:r>
    </w:p>
    <w:p w14:paraId="27B2AC61" w14:textId="4E6E9318" w:rsidR="007711AF" w:rsidRPr="00817254" w:rsidRDefault="007711AF" w:rsidP="007711AF">
      <w:pPr>
        <w:spacing w:after="0"/>
        <w:ind w:left="709" w:hanging="709"/>
        <w:rPr>
          <w:rFonts w:eastAsia="Calibri" w:cs="Arial"/>
          <w:lang w:val="es-EC"/>
        </w:rPr>
      </w:pPr>
      <w:proofErr w:type="spellStart"/>
      <w:r w:rsidRPr="00817254">
        <w:rPr>
          <w:rFonts w:eastAsia="Calibri" w:cs="Arial"/>
          <w:lang w:val="en-US"/>
        </w:rPr>
        <w:t>Wieringa</w:t>
      </w:r>
      <w:proofErr w:type="spellEnd"/>
      <w:r w:rsidRPr="00817254">
        <w:rPr>
          <w:rFonts w:eastAsia="Calibri" w:cs="Arial"/>
          <w:lang w:val="en-US"/>
        </w:rPr>
        <w:t xml:space="preserve">, S., </w:t>
      </w:r>
      <w:proofErr w:type="spellStart"/>
      <w:r w:rsidRPr="00817254">
        <w:rPr>
          <w:rFonts w:eastAsia="Calibri" w:cs="Arial"/>
          <w:lang w:val="en-US"/>
        </w:rPr>
        <w:t>Engebretsen</w:t>
      </w:r>
      <w:proofErr w:type="spellEnd"/>
      <w:r w:rsidRPr="00817254">
        <w:rPr>
          <w:rFonts w:eastAsia="Calibri" w:cs="Arial"/>
          <w:lang w:val="en-US"/>
        </w:rPr>
        <w:t xml:space="preserve">, E., </w:t>
      </w:r>
      <w:proofErr w:type="spellStart"/>
      <w:r w:rsidRPr="00817254">
        <w:rPr>
          <w:rFonts w:eastAsia="Calibri" w:cs="Arial"/>
          <w:lang w:val="en-US"/>
        </w:rPr>
        <w:t>Heggen</w:t>
      </w:r>
      <w:proofErr w:type="spellEnd"/>
      <w:r w:rsidRPr="00817254">
        <w:rPr>
          <w:rFonts w:eastAsia="Calibri" w:cs="Arial"/>
          <w:lang w:val="en-US"/>
        </w:rPr>
        <w:t xml:space="preserve">, K., &amp; </w:t>
      </w:r>
      <w:proofErr w:type="spellStart"/>
      <w:r w:rsidRPr="00817254">
        <w:rPr>
          <w:rFonts w:eastAsia="Calibri" w:cs="Arial"/>
          <w:lang w:val="en-US"/>
        </w:rPr>
        <w:t>Greenhalgh</w:t>
      </w:r>
      <w:proofErr w:type="spellEnd"/>
      <w:r w:rsidRPr="00817254">
        <w:rPr>
          <w:rFonts w:eastAsia="Calibri" w:cs="Arial"/>
          <w:lang w:val="en-US"/>
        </w:rPr>
        <w:t xml:space="preserve">, T. (2018). How knowledge is constructed and exchanged in virtual communities of physicians: Qualitative study of </w:t>
      </w:r>
      <w:proofErr w:type="spellStart"/>
      <w:r w:rsidRPr="00817254">
        <w:rPr>
          <w:rFonts w:eastAsia="Calibri" w:cs="Arial"/>
          <w:lang w:val="en-US"/>
        </w:rPr>
        <w:t>mindlines</w:t>
      </w:r>
      <w:proofErr w:type="spellEnd"/>
      <w:r w:rsidRPr="00817254">
        <w:rPr>
          <w:rFonts w:eastAsia="Calibri" w:cs="Arial"/>
          <w:lang w:val="en-US"/>
        </w:rPr>
        <w:t xml:space="preserve"> online. </w:t>
      </w:r>
      <w:proofErr w:type="spellStart"/>
      <w:r w:rsidRPr="00817254">
        <w:rPr>
          <w:rFonts w:eastAsia="Calibri" w:cs="Arial"/>
          <w:lang w:val="es-EC"/>
        </w:rPr>
        <w:t>Journal</w:t>
      </w:r>
      <w:proofErr w:type="spellEnd"/>
      <w:r w:rsidRPr="00817254">
        <w:rPr>
          <w:rFonts w:eastAsia="Calibri" w:cs="Arial"/>
          <w:lang w:val="es-EC"/>
        </w:rPr>
        <w:t xml:space="preserve"> of Medical Internet </w:t>
      </w:r>
      <w:proofErr w:type="spellStart"/>
      <w:r w:rsidRPr="00817254">
        <w:rPr>
          <w:rFonts w:eastAsia="Calibri" w:cs="Arial"/>
          <w:lang w:val="es-EC"/>
        </w:rPr>
        <w:t>Research</w:t>
      </w:r>
      <w:proofErr w:type="spellEnd"/>
      <w:r w:rsidRPr="00817254">
        <w:rPr>
          <w:rFonts w:eastAsia="Calibri" w:cs="Arial"/>
          <w:lang w:val="es-EC"/>
        </w:rPr>
        <w:t xml:space="preserve">, 20(2). </w:t>
      </w:r>
      <w:hyperlink r:id="rId46" w:history="1">
        <w:r w:rsidR="00817254" w:rsidRPr="00817254">
          <w:rPr>
            <w:rStyle w:val="Hipervnculo"/>
            <w:rFonts w:eastAsia="Calibri" w:cs="Arial"/>
            <w:u w:val="none"/>
            <w:lang w:val="es-EC"/>
          </w:rPr>
          <w:t>https://doi.org/10.2196/jmir.8325</w:t>
        </w:r>
      </w:hyperlink>
      <w:r w:rsidR="00817254" w:rsidRPr="00817254">
        <w:rPr>
          <w:rFonts w:eastAsia="Calibri" w:cs="Arial"/>
          <w:lang w:val="es-EC"/>
        </w:rPr>
        <w:t xml:space="preserve"> </w:t>
      </w:r>
    </w:p>
    <w:p w14:paraId="0C8BCB4D" w14:textId="77777777" w:rsidR="007711AF" w:rsidRPr="00817254" w:rsidRDefault="007711AF" w:rsidP="007711AF">
      <w:pPr>
        <w:spacing w:after="0"/>
        <w:ind w:left="709" w:hanging="709"/>
        <w:rPr>
          <w:rFonts w:eastAsia="Calibri" w:cs="Arial"/>
          <w:lang w:val="es-EC"/>
        </w:rPr>
      </w:pPr>
      <w:r w:rsidRPr="00817254">
        <w:rPr>
          <w:rFonts w:eastAsia="Calibri" w:cs="Arial"/>
          <w:lang w:val="es-EC"/>
        </w:rPr>
        <w:t> </w:t>
      </w:r>
    </w:p>
    <w:p w14:paraId="6E73CBC7" w14:textId="6B5D7B2B" w:rsidR="00BD0D62" w:rsidRPr="00817254" w:rsidRDefault="00BD0D62" w:rsidP="007711AF">
      <w:pPr>
        <w:spacing w:after="0"/>
        <w:ind w:left="709" w:hanging="709"/>
        <w:rPr>
          <w:rFonts w:eastAsia="Calibri" w:cs="Arial"/>
          <w:lang w:val="es-EC"/>
        </w:rPr>
      </w:pPr>
    </w:p>
    <w:p w14:paraId="7C4B0459" w14:textId="64F2C18B" w:rsidR="00BD0D62" w:rsidRPr="00817254" w:rsidRDefault="00BD0D62" w:rsidP="007711AF">
      <w:pPr>
        <w:spacing w:after="0"/>
        <w:ind w:left="709" w:hanging="709"/>
        <w:rPr>
          <w:rFonts w:eastAsia="Calibri" w:cs="Arial"/>
          <w:lang w:val="es-EC"/>
        </w:rPr>
      </w:pPr>
    </w:p>
    <w:p w14:paraId="4FF7CB09" w14:textId="7034F46E" w:rsidR="00BD0D62" w:rsidRPr="00817254" w:rsidRDefault="00BD0D62" w:rsidP="007711AF">
      <w:pPr>
        <w:spacing w:after="0"/>
        <w:ind w:left="709" w:hanging="709"/>
        <w:rPr>
          <w:rFonts w:eastAsia="Calibri" w:cs="Arial"/>
          <w:lang w:val="es-EC"/>
        </w:rPr>
      </w:pPr>
    </w:p>
    <w:p w14:paraId="5F9CE42F" w14:textId="4A9E5027" w:rsidR="004F565D" w:rsidRPr="00817254" w:rsidRDefault="004F565D" w:rsidP="007711AF">
      <w:pPr>
        <w:spacing w:after="0"/>
        <w:ind w:left="709" w:hanging="709"/>
        <w:rPr>
          <w:rFonts w:eastAsia="Calibri" w:cs="Arial"/>
          <w:lang w:val="es-EC"/>
        </w:rPr>
      </w:pPr>
    </w:p>
    <w:p w14:paraId="3675B558" w14:textId="5CBACE41" w:rsidR="00860EC5" w:rsidRPr="00817254" w:rsidRDefault="00860EC5" w:rsidP="007711AF">
      <w:pPr>
        <w:spacing w:after="0"/>
        <w:ind w:left="709" w:hanging="709"/>
        <w:rPr>
          <w:rFonts w:eastAsia="Calibri" w:cs="Arial"/>
          <w:lang w:val="es-EC"/>
        </w:rPr>
      </w:pPr>
    </w:p>
    <w:p w14:paraId="058772ED" w14:textId="3850A35F" w:rsidR="00860EC5" w:rsidRPr="00817254" w:rsidRDefault="00860EC5" w:rsidP="007711AF">
      <w:pPr>
        <w:spacing w:after="0"/>
        <w:ind w:left="709" w:hanging="709"/>
        <w:rPr>
          <w:rFonts w:eastAsia="Calibri" w:cs="Arial"/>
          <w:lang w:val="es-EC"/>
        </w:rPr>
      </w:pPr>
    </w:p>
    <w:p w14:paraId="089852F9" w14:textId="56B3DDAB" w:rsidR="00860EC5" w:rsidRPr="00817254" w:rsidRDefault="00860EC5" w:rsidP="007711AF">
      <w:pPr>
        <w:spacing w:after="0"/>
        <w:ind w:left="709" w:hanging="709"/>
        <w:rPr>
          <w:rFonts w:eastAsia="Calibri" w:cs="Arial"/>
          <w:lang w:val="es-EC"/>
        </w:rPr>
      </w:pPr>
    </w:p>
    <w:p w14:paraId="3214A123" w14:textId="5C768B83" w:rsidR="00860EC5" w:rsidRPr="00817254" w:rsidRDefault="00860EC5" w:rsidP="00860EC5">
      <w:pPr>
        <w:rPr>
          <w:rFonts w:eastAsia="Calibri" w:cs="Arial"/>
          <w:b/>
          <w:bCs/>
          <w:lang w:val="es-EC"/>
        </w:rPr>
      </w:pPr>
    </w:p>
    <w:p w14:paraId="4AD30B96" w14:textId="16B5DF98" w:rsidR="00860EC5" w:rsidRPr="00817254" w:rsidRDefault="00860EC5" w:rsidP="00860EC5">
      <w:pPr>
        <w:tabs>
          <w:tab w:val="left" w:pos="2742"/>
        </w:tabs>
        <w:rPr>
          <w:rFonts w:eastAsia="Calibri" w:cs="Arial"/>
          <w:lang w:val="es-EC"/>
        </w:rPr>
      </w:pPr>
      <w:r w:rsidRPr="00817254">
        <w:rPr>
          <w:rFonts w:eastAsia="Calibri" w:cs="Arial"/>
          <w:lang w:val="es-EC"/>
        </w:rPr>
        <w:tab/>
      </w:r>
    </w:p>
    <w:p w14:paraId="5A4F7D9E" w14:textId="36930777" w:rsidR="00FA1214" w:rsidRPr="00817254" w:rsidRDefault="00FA1214" w:rsidP="00FA1214">
      <w:pPr>
        <w:tabs>
          <w:tab w:val="left" w:pos="1532"/>
        </w:tabs>
        <w:rPr>
          <w:rFonts w:eastAsia="Calibri" w:cs="Arial"/>
          <w:lang w:val="es-EC"/>
        </w:rPr>
      </w:pPr>
      <w:r w:rsidRPr="00817254">
        <w:rPr>
          <w:rFonts w:eastAsia="Calibri" w:cs="Arial"/>
          <w:lang w:val="es-EC"/>
        </w:rPr>
        <w:tab/>
      </w:r>
    </w:p>
    <w:sectPr w:rsidR="00FA1214" w:rsidRPr="00817254" w:rsidSect="00626685">
      <w:headerReference w:type="even" r:id="rId47"/>
      <w:headerReference w:type="default" r:id="rId48"/>
      <w:footerReference w:type="even" r:id="rId49"/>
      <w:footerReference w:type="default" r:id="rId50"/>
      <w:headerReference w:type="first" r:id="rId51"/>
      <w:type w:val="continuous"/>
      <w:pgSz w:w="11906" w:h="16838"/>
      <w:pgMar w:top="1440" w:right="1440" w:bottom="1440" w:left="1440" w:header="709" w:footer="709" w:gutter="0"/>
      <w:pgNumType w:start="60"/>
      <w:cols w:space="28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D46FD" w14:textId="77777777" w:rsidR="005F7DA2" w:rsidRDefault="005F7DA2" w:rsidP="007719E5">
      <w:pPr>
        <w:spacing w:after="0"/>
      </w:pPr>
      <w:r>
        <w:separator/>
      </w:r>
    </w:p>
  </w:endnote>
  <w:endnote w:type="continuationSeparator" w:id="0">
    <w:p w14:paraId="69979317" w14:textId="77777777" w:rsidR="005F7DA2" w:rsidRDefault="005F7DA2" w:rsidP="007719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rasITCbyBT-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626685" w14:paraId="1C776A1E" w14:textId="77777777" w:rsidTr="00F85C19">
      <w:trPr>
        <w:trHeight w:val="416"/>
      </w:trPr>
      <w:tc>
        <w:tcPr>
          <w:tcW w:w="2815" w:type="pct"/>
          <w:shd w:val="clear" w:color="auto" w:fill="B2A1C7" w:themeFill="accent4" w:themeFillTint="99"/>
        </w:tcPr>
        <w:p w14:paraId="284F47D6" w14:textId="02C3D9D2" w:rsidR="00626685" w:rsidRPr="00EA1085" w:rsidRDefault="00626685">
          <w:pPr>
            <w:pStyle w:val="Piedepgina"/>
            <w:rPr>
              <w:rFonts w:cs="Arial"/>
              <w:i/>
              <w:color w:val="C00000"/>
              <w:sz w:val="18"/>
              <w:szCs w:val="18"/>
            </w:rPr>
          </w:pPr>
          <w:r w:rsidRPr="00EA1085">
            <w:rPr>
              <w:rFonts w:cs="Arial"/>
              <w:i/>
              <w:color w:val="C00000"/>
              <w:sz w:val="18"/>
              <w:szCs w:val="18"/>
            </w:rPr>
            <w:t>Revista Científica Retos de la Ciencia. 7(1</w:t>
          </w:r>
          <w:r>
            <w:rPr>
              <w:rFonts w:cs="Arial"/>
              <w:i/>
              <w:color w:val="C00000"/>
              <w:sz w:val="18"/>
              <w:szCs w:val="18"/>
            </w:rPr>
            <w:t>5</w:t>
          </w:r>
          <w:r w:rsidRPr="00EA1085">
            <w:rPr>
              <w:rFonts w:cs="Arial"/>
              <w:i/>
              <w:color w:val="C00000"/>
              <w:sz w:val="18"/>
              <w:szCs w:val="18"/>
            </w:rPr>
            <w:t xml:space="preserve">), pp. </w:t>
          </w:r>
          <w:r>
            <w:rPr>
              <w:rFonts w:cs="Arial"/>
              <w:i/>
              <w:color w:val="C00000"/>
              <w:sz w:val="18"/>
              <w:szCs w:val="18"/>
            </w:rPr>
            <w:t>60-73</w:t>
          </w:r>
          <w:r w:rsidRPr="00EA1085">
            <w:rPr>
              <w:rFonts w:cs="Arial"/>
              <w:i/>
              <w:color w:val="C00000"/>
              <w:sz w:val="18"/>
              <w:szCs w:val="18"/>
            </w:rPr>
            <w:t>.</w:t>
          </w:r>
        </w:p>
        <w:p w14:paraId="04839BB0" w14:textId="07850C02" w:rsidR="00626685" w:rsidRPr="00EA1085" w:rsidRDefault="00626685" w:rsidP="00AA1936">
          <w:pPr>
            <w:pStyle w:val="Piedepgina"/>
            <w:tabs>
              <w:tab w:val="clear" w:pos="4252"/>
              <w:tab w:val="clear" w:pos="8504"/>
              <w:tab w:val="center" w:pos="1576"/>
              <w:tab w:val="left" w:pos="2053"/>
              <w:tab w:val="left" w:pos="2547"/>
            </w:tabs>
            <w:rPr>
              <w:bCs/>
              <w:color w:val="943634" w:themeColor="accent2" w:themeShade="BF"/>
            </w:rPr>
          </w:pPr>
          <w:r w:rsidRPr="00EA1085">
            <w:rPr>
              <w:rFonts w:cs="Arial"/>
              <w:bCs/>
              <w:i/>
              <w:color w:val="C00000"/>
              <w:sz w:val="18"/>
              <w:szCs w:val="18"/>
            </w:rPr>
            <w:t xml:space="preserve"> </w:t>
          </w:r>
          <w:r w:rsidRPr="00EA1085">
            <w:rPr>
              <w:rFonts w:cs="Arial"/>
              <w:bCs/>
              <w:i/>
              <w:color w:val="C00000"/>
              <w:sz w:val="18"/>
              <w:szCs w:val="18"/>
            </w:rPr>
            <w:fldChar w:fldCharType="begin"/>
          </w:r>
          <w:r w:rsidRPr="00EA1085">
            <w:rPr>
              <w:rFonts w:cs="Arial"/>
              <w:bCs/>
              <w:i/>
              <w:color w:val="C00000"/>
              <w:sz w:val="18"/>
              <w:szCs w:val="18"/>
            </w:rPr>
            <w:instrText>PAGE   \* MERGEFORMAT</w:instrText>
          </w:r>
          <w:r w:rsidRPr="00EA1085">
            <w:rPr>
              <w:rFonts w:cs="Arial"/>
              <w:bCs/>
              <w:i/>
              <w:color w:val="C00000"/>
              <w:sz w:val="18"/>
              <w:szCs w:val="18"/>
            </w:rPr>
            <w:fldChar w:fldCharType="separate"/>
          </w:r>
          <w:r w:rsidR="00D74E2F">
            <w:rPr>
              <w:rFonts w:cs="Arial"/>
              <w:bCs/>
              <w:i/>
              <w:noProof/>
              <w:color w:val="C00000"/>
              <w:sz w:val="18"/>
              <w:szCs w:val="18"/>
            </w:rPr>
            <w:t>72</w:t>
          </w:r>
          <w:r w:rsidRPr="00EA1085">
            <w:rPr>
              <w:rFonts w:cs="Arial"/>
              <w:bCs/>
              <w:i/>
              <w:color w:val="C00000"/>
              <w:sz w:val="18"/>
              <w:szCs w:val="18"/>
            </w:rPr>
            <w:fldChar w:fldCharType="end"/>
          </w:r>
          <w:r w:rsidRPr="00EA1085">
            <w:rPr>
              <w:rFonts w:cs="Arial"/>
              <w:bCs/>
              <w:color w:val="943634" w:themeColor="accent2" w:themeShade="BF"/>
              <w:sz w:val="20"/>
              <w:szCs w:val="20"/>
            </w:rPr>
            <w:tab/>
          </w:r>
          <w:r w:rsidRPr="00EA1085">
            <w:rPr>
              <w:rFonts w:cs="Arial"/>
              <w:bCs/>
              <w:color w:val="943634" w:themeColor="accent2" w:themeShade="BF"/>
              <w:sz w:val="20"/>
              <w:szCs w:val="20"/>
            </w:rPr>
            <w:tab/>
          </w:r>
          <w:r w:rsidRPr="00EA1085">
            <w:rPr>
              <w:rFonts w:cs="Arial"/>
              <w:bCs/>
              <w:color w:val="943634" w:themeColor="accent2" w:themeShade="BF"/>
              <w:sz w:val="20"/>
              <w:szCs w:val="20"/>
            </w:rPr>
            <w:tab/>
          </w:r>
        </w:p>
      </w:tc>
      <w:tc>
        <w:tcPr>
          <w:tcW w:w="2185" w:type="pct"/>
        </w:tcPr>
        <w:p w14:paraId="47F8523B" w14:textId="77777777" w:rsidR="00626685" w:rsidRPr="00522B36" w:rsidRDefault="00626685">
          <w:pPr>
            <w:pStyle w:val="Piedepgina"/>
            <w:rPr>
              <w:color w:val="943634" w:themeColor="accent2" w:themeShade="BF"/>
            </w:rPr>
          </w:pPr>
        </w:p>
      </w:tc>
    </w:tr>
  </w:tbl>
  <w:p w14:paraId="3B8C2D8F" w14:textId="77777777" w:rsidR="00626685" w:rsidRDefault="00626685" w:rsidP="00FA121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9" w:type="pct"/>
      <w:tblBorders>
        <w:top w:val="single" w:sz="4" w:space="0" w:color="8064A2" w:themeColor="accent4"/>
      </w:tblBorders>
      <w:tblLook w:val="04A0" w:firstRow="1" w:lastRow="0" w:firstColumn="1" w:lastColumn="0" w:noHBand="0" w:noVBand="1"/>
    </w:tblPr>
    <w:tblGrid>
      <w:gridCol w:w="290"/>
      <w:gridCol w:w="8839"/>
    </w:tblGrid>
    <w:tr w:rsidR="00626685" w:rsidRPr="00EA1085" w14:paraId="41750EB6" w14:textId="77777777" w:rsidTr="00A95877">
      <w:trPr>
        <w:trHeight w:val="274"/>
      </w:trPr>
      <w:tc>
        <w:tcPr>
          <w:tcW w:w="159" w:type="pct"/>
        </w:tcPr>
        <w:p w14:paraId="2C3F9589" w14:textId="1F009B7E" w:rsidR="00626685" w:rsidRPr="00EA1085" w:rsidRDefault="00626685">
          <w:pPr>
            <w:pStyle w:val="Piedepgina"/>
            <w:jc w:val="right"/>
            <w:rPr>
              <w:bCs/>
              <w:color w:val="943634" w:themeColor="accent2" w:themeShade="BF"/>
            </w:rPr>
          </w:pPr>
        </w:p>
      </w:tc>
      <w:tc>
        <w:tcPr>
          <w:tcW w:w="4841" w:type="pct"/>
          <w:shd w:val="clear" w:color="auto" w:fill="8DB3E2" w:themeFill="text2" w:themeFillTint="66"/>
        </w:tcPr>
        <w:p w14:paraId="51B72A61" w14:textId="409A1983" w:rsidR="00626685" w:rsidRPr="00EA1085" w:rsidRDefault="00626685" w:rsidP="003F6958">
          <w:pPr>
            <w:pStyle w:val="Piedepgina"/>
            <w:tabs>
              <w:tab w:val="center" w:pos="1715"/>
              <w:tab w:val="right" w:pos="5880"/>
            </w:tabs>
            <w:ind w:left="-2450"/>
            <w:jc w:val="right"/>
            <w:rPr>
              <w:rFonts w:cs="Arial"/>
              <w:bCs/>
              <w:i/>
              <w:iCs/>
              <w:noProof/>
              <w:color w:val="C00000"/>
              <w:sz w:val="18"/>
              <w:szCs w:val="18"/>
            </w:rPr>
          </w:pPr>
          <w:r w:rsidRPr="00EA1085">
            <w:rPr>
              <w:rStyle w:val="Hipervnculo"/>
              <w:rFonts w:cs="Arial"/>
              <w:bCs/>
              <w:i/>
              <w:iCs/>
              <w:noProof/>
              <w:color w:val="C00000"/>
              <w:sz w:val="18"/>
              <w:szCs w:val="18"/>
              <w:u w:val="none"/>
            </w:rPr>
            <w:t>Fundación Internacional para la Educación, la Ciencia y la Tecnología -</w:t>
          </w:r>
          <w:hyperlink r:id="rId1" w:history="1">
            <w:r w:rsidRPr="00EA1085">
              <w:rPr>
                <w:rStyle w:val="Hipervnculo"/>
                <w:rFonts w:cs="Arial"/>
                <w:bCs/>
                <w:i/>
                <w:iCs/>
                <w:noProof/>
                <w:color w:val="C00000"/>
                <w:sz w:val="18"/>
                <w:szCs w:val="18"/>
                <w:u w:val="none"/>
              </w:rPr>
              <w:t>F</w:t>
            </w:r>
          </w:hyperlink>
          <w:r w:rsidRPr="00EA1085">
            <w:rPr>
              <w:rStyle w:val="Hipervnculo"/>
              <w:rFonts w:cs="Arial"/>
              <w:bCs/>
              <w:i/>
              <w:iCs/>
              <w:noProof/>
              <w:color w:val="C00000"/>
              <w:sz w:val="18"/>
              <w:szCs w:val="18"/>
              <w:u w:val="none"/>
            </w:rPr>
            <w:t xml:space="preserve">IECYT- </w:t>
          </w:r>
        </w:p>
        <w:p w14:paraId="429AA33C" w14:textId="1C4D9D60" w:rsidR="00626685" w:rsidRPr="00EA1085" w:rsidRDefault="00626685" w:rsidP="00B5230C">
          <w:pPr>
            <w:pStyle w:val="Piedepgina"/>
            <w:tabs>
              <w:tab w:val="center" w:pos="1715"/>
              <w:tab w:val="right" w:pos="5880"/>
            </w:tabs>
            <w:ind w:left="-2450"/>
            <w:jc w:val="right"/>
            <w:rPr>
              <w:rFonts w:cs="Arial"/>
              <w:bCs/>
              <w:noProof/>
              <w:color w:val="C00000"/>
              <w:sz w:val="20"/>
            </w:rPr>
          </w:pPr>
          <w:r w:rsidRPr="00EA1085">
            <w:rPr>
              <w:rFonts w:cs="Arial"/>
              <w:bCs/>
              <w:i/>
              <w:iCs/>
              <w:noProof/>
              <w:color w:val="C00000"/>
              <w:sz w:val="18"/>
              <w:szCs w:val="18"/>
            </w:rPr>
            <w:fldChar w:fldCharType="begin"/>
          </w:r>
          <w:r w:rsidRPr="00EA1085">
            <w:rPr>
              <w:rFonts w:cs="Arial"/>
              <w:bCs/>
              <w:i/>
              <w:iCs/>
              <w:noProof/>
              <w:color w:val="C00000"/>
              <w:sz w:val="18"/>
              <w:szCs w:val="18"/>
            </w:rPr>
            <w:instrText>PAGE    \* MERGEFORMAT</w:instrText>
          </w:r>
          <w:r w:rsidRPr="00EA1085">
            <w:rPr>
              <w:rFonts w:cs="Arial"/>
              <w:bCs/>
              <w:i/>
              <w:iCs/>
              <w:noProof/>
              <w:color w:val="C00000"/>
              <w:sz w:val="18"/>
              <w:szCs w:val="18"/>
            </w:rPr>
            <w:fldChar w:fldCharType="separate"/>
          </w:r>
          <w:r w:rsidR="00D74E2F">
            <w:rPr>
              <w:rFonts w:cs="Arial"/>
              <w:bCs/>
              <w:i/>
              <w:iCs/>
              <w:noProof/>
              <w:color w:val="C00000"/>
              <w:sz w:val="18"/>
              <w:szCs w:val="18"/>
            </w:rPr>
            <w:t>73</w:t>
          </w:r>
          <w:r w:rsidRPr="00EA1085">
            <w:rPr>
              <w:rFonts w:cs="Arial"/>
              <w:bCs/>
              <w:i/>
              <w:iCs/>
              <w:noProof/>
              <w:color w:val="C00000"/>
              <w:sz w:val="18"/>
              <w:szCs w:val="18"/>
            </w:rPr>
            <w:fldChar w:fldCharType="end"/>
          </w:r>
        </w:p>
      </w:tc>
    </w:tr>
  </w:tbl>
  <w:p w14:paraId="7DC4D81B" w14:textId="1B6D9961" w:rsidR="00626685" w:rsidRPr="00EA1085" w:rsidRDefault="00626685" w:rsidP="004321F1">
    <w:pPr>
      <w:tabs>
        <w:tab w:val="left" w:pos="3828"/>
      </w:tabs>
      <w:rPr>
        <w:b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C0EA7" w14:textId="77777777" w:rsidR="005F7DA2" w:rsidRDefault="005F7DA2" w:rsidP="007719E5">
      <w:pPr>
        <w:spacing w:after="0"/>
      </w:pPr>
      <w:r>
        <w:separator/>
      </w:r>
    </w:p>
  </w:footnote>
  <w:footnote w:type="continuationSeparator" w:id="0">
    <w:p w14:paraId="28C3D8B9" w14:textId="77777777" w:rsidR="005F7DA2" w:rsidRDefault="005F7DA2" w:rsidP="007719E5">
      <w:pPr>
        <w:spacing w:after="0"/>
      </w:pPr>
      <w:r>
        <w:continuationSeparator/>
      </w:r>
    </w:p>
  </w:footnote>
  <w:footnote w:id="1">
    <w:p w14:paraId="760FE10B" w14:textId="3D84A8AA" w:rsidR="00626685" w:rsidRPr="00172AF8" w:rsidRDefault="00626685" w:rsidP="00172AF8">
      <w:pPr>
        <w:tabs>
          <w:tab w:val="left" w:pos="4536"/>
        </w:tabs>
        <w:spacing w:after="0"/>
        <w:rPr>
          <w:rFonts w:cs="Arial"/>
          <w:sz w:val="20"/>
          <w:szCs w:val="20"/>
        </w:rPr>
      </w:pPr>
      <w:r w:rsidRPr="00172AF8">
        <w:rPr>
          <w:rStyle w:val="Refdenotaalpie"/>
          <w:rFonts w:cs="Arial"/>
          <w:sz w:val="16"/>
          <w:szCs w:val="16"/>
        </w:rPr>
        <w:footnoteRef/>
      </w:r>
      <w:r w:rsidRPr="00172AF8">
        <w:rPr>
          <w:rFonts w:cs="Arial"/>
          <w:bCs/>
          <w:sz w:val="18"/>
          <w:szCs w:val="18"/>
        </w:rPr>
        <w:t xml:space="preserve">Magister en gestión de las Organizaciones. Universidad Militar Nueva Granada. Colombia. </w:t>
      </w:r>
      <w:hyperlink r:id="rId1" w:history="1">
        <w:r w:rsidRPr="00172AF8">
          <w:rPr>
            <w:rStyle w:val="Hipervnculo"/>
            <w:rFonts w:cs="Arial"/>
            <w:bCs/>
            <w:sz w:val="18"/>
            <w:szCs w:val="18"/>
            <w:u w:val="none"/>
          </w:rPr>
          <w:t>sandra.valbuena@unimilitar.edu.co</w:t>
        </w:r>
      </w:hyperlink>
      <w:r w:rsidRPr="00172AF8">
        <w:rPr>
          <w:rFonts w:cs="Arial"/>
          <w:bCs/>
          <w:sz w:val="18"/>
          <w:szCs w:val="18"/>
        </w:rPr>
        <w:t xml:space="preserve"> </w:t>
      </w:r>
      <w:r w:rsidRPr="00172AF8">
        <w:rPr>
          <w:rStyle w:val="Hipervnculo"/>
          <w:rFonts w:cs="Arial"/>
          <w:bCs/>
          <w:sz w:val="18"/>
          <w:szCs w:val="18"/>
          <w:u w:val="none"/>
        </w:rPr>
        <w:t xml:space="preserve"> </w:t>
      </w:r>
      <w:r w:rsidRPr="00172AF8">
        <w:t xml:space="preserve">/ </w:t>
      </w:r>
      <w:hyperlink r:id="rId2" w:history="1">
        <w:r w:rsidRPr="00172AF8">
          <w:rPr>
            <w:rStyle w:val="Hipervnculo"/>
            <w:rFonts w:cs="Arial"/>
            <w:sz w:val="20"/>
            <w:szCs w:val="20"/>
            <w:u w:val="none"/>
          </w:rPr>
          <w:t>https://orcid.org/0000-0003-4656-7953</w:t>
        </w:r>
      </w:hyperlink>
    </w:p>
  </w:footnote>
  <w:footnote w:id="2">
    <w:p w14:paraId="5A396598" w14:textId="1E96390A" w:rsidR="00626685" w:rsidRPr="005A77BD" w:rsidRDefault="00626685" w:rsidP="00172AF8">
      <w:pPr>
        <w:tabs>
          <w:tab w:val="left" w:pos="0"/>
          <w:tab w:val="left" w:pos="142"/>
          <w:tab w:val="left" w:pos="4536"/>
        </w:tabs>
        <w:spacing w:after="0"/>
        <w:rPr>
          <w:rStyle w:val="Hipervnculo"/>
          <w:rFonts w:cs="Arial"/>
          <w:bCs/>
          <w:sz w:val="18"/>
          <w:szCs w:val="18"/>
        </w:rPr>
      </w:pPr>
      <w:r w:rsidRPr="00172AF8">
        <w:rPr>
          <w:bCs/>
          <w:sz w:val="12"/>
          <w:szCs w:val="18"/>
        </w:rPr>
        <w:footnoteRef/>
      </w:r>
      <w:r w:rsidRPr="00172AF8">
        <w:rPr>
          <w:rFonts w:cs="Arial"/>
          <w:bCs/>
          <w:sz w:val="18"/>
          <w:szCs w:val="18"/>
        </w:rPr>
        <w:t xml:space="preserve">Estudiante de Contaduría Pública. Universidad Militar Nueva Granada. </w:t>
      </w:r>
      <w:bookmarkStart w:id="4" w:name="_GoBack"/>
      <w:r w:rsidRPr="00626685">
        <w:rPr>
          <w:rStyle w:val="Hipervnculo"/>
          <w:sz w:val="18"/>
          <w:szCs w:val="18"/>
          <w:u w:val="none"/>
        </w:rPr>
        <w:t>Colombia.</w:t>
      </w:r>
      <w:r w:rsidRPr="00626685">
        <w:rPr>
          <w:rStyle w:val="Hipervnculo"/>
          <w:rFonts w:cs="Arial"/>
          <w:bCs/>
          <w:sz w:val="18"/>
          <w:szCs w:val="18"/>
          <w:u w:val="none"/>
        </w:rPr>
        <w:t>est.diana.acero@unimilitar.edu.co</w:t>
      </w:r>
      <w:bookmarkEnd w:id="4"/>
      <w:r w:rsidRPr="0018757B">
        <w:rPr>
          <w:rStyle w:val="Hipervnculo"/>
          <w:rFonts w:cs="Arial"/>
          <w:bCs/>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70" w:type="pct"/>
      <w:tblInd w:w="115" w:type="dxa"/>
      <w:tblCellMar>
        <w:top w:w="72" w:type="dxa"/>
        <w:left w:w="115" w:type="dxa"/>
        <w:bottom w:w="72" w:type="dxa"/>
        <w:right w:w="115" w:type="dxa"/>
      </w:tblCellMar>
      <w:tblLook w:val="04A0" w:firstRow="1" w:lastRow="0" w:firstColumn="1" w:lastColumn="0" w:noHBand="0" w:noVBand="1"/>
    </w:tblPr>
    <w:tblGrid>
      <w:gridCol w:w="8768"/>
      <w:gridCol w:w="247"/>
    </w:tblGrid>
    <w:tr w:rsidR="00626685" w14:paraId="0AA40E4D" w14:textId="77777777" w:rsidTr="00F1220F">
      <w:trPr>
        <w:trHeight w:val="73"/>
      </w:trPr>
      <w:tc>
        <w:tcPr>
          <w:tcW w:w="4863" w:type="pct"/>
          <w:tcBorders>
            <w:bottom w:val="single" w:sz="4" w:space="0" w:color="943634" w:themeColor="accent2" w:themeShade="BF"/>
          </w:tcBorders>
          <w:shd w:val="clear" w:color="auto" w:fill="403152" w:themeFill="accent4" w:themeFillShade="80"/>
          <w:vAlign w:val="bottom"/>
        </w:tcPr>
        <w:p w14:paraId="3BAC16F0" w14:textId="7667820B" w:rsidR="00626685" w:rsidRPr="00EA1085" w:rsidRDefault="00626685" w:rsidP="00172AF8">
          <w:pPr>
            <w:spacing w:after="0"/>
            <w:jc w:val="left"/>
            <w:rPr>
              <w:rFonts w:cs="Arial"/>
              <w:i/>
              <w:color w:val="FFFFFF" w:themeColor="background1"/>
              <w:sz w:val="18"/>
              <w:szCs w:val="18"/>
            </w:rPr>
          </w:pPr>
          <w:r w:rsidRPr="00172AF8">
            <w:rPr>
              <w:rFonts w:cs="Arial"/>
              <w:b/>
              <w:bCs/>
              <w:i/>
              <w:iCs/>
              <w:sz w:val="18"/>
              <w:szCs w:val="20"/>
              <w:lang w:val="es-EC"/>
            </w:rPr>
            <w:t>Lineamientos organizacionales para las comunidades de práctica o de aprendizaje en pro de la colaboración</w:t>
          </w:r>
        </w:p>
      </w:tc>
      <w:tc>
        <w:tcPr>
          <w:tcW w:w="137" w:type="pct"/>
          <w:tcBorders>
            <w:bottom w:val="single" w:sz="4" w:space="0" w:color="auto"/>
          </w:tcBorders>
          <w:vAlign w:val="bottom"/>
        </w:tcPr>
        <w:p w14:paraId="53F8CB82" w14:textId="77777777" w:rsidR="00626685" w:rsidRDefault="00626685" w:rsidP="007719E5">
          <w:pPr>
            <w:pStyle w:val="Encabezado"/>
            <w:rPr>
              <w:color w:val="76923C" w:themeColor="accent3" w:themeShade="BF"/>
              <w:sz w:val="24"/>
            </w:rPr>
          </w:pPr>
        </w:p>
      </w:tc>
    </w:tr>
  </w:tbl>
  <w:p w14:paraId="10F7DFC3" w14:textId="77777777" w:rsidR="00626685" w:rsidRPr="00B410DE" w:rsidRDefault="00626685" w:rsidP="00B410DE">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5" w:type="pct"/>
      <w:tblCellMar>
        <w:top w:w="72" w:type="dxa"/>
        <w:left w:w="115" w:type="dxa"/>
        <w:bottom w:w="72" w:type="dxa"/>
        <w:right w:w="115" w:type="dxa"/>
      </w:tblCellMar>
      <w:tblLook w:val="04A0" w:firstRow="1" w:lastRow="0" w:firstColumn="1" w:lastColumn="0" w:noHBand="0" w:noVBand="1"/>
    </w:tblPr>
    <w:tblGrid>
      <w:gridCol w:w="291"/>
      <w:gridCol w:w="8845"/>
    </w:tblGrid>
    <w:tr w:rsidR="00626685" w:rsidRPr="001A7EBA" w14:paraId="63CDC4D1" w14:textId="77777777" w:rsidTr="00FA1214">
      <w:trPr>
        <w:trHeight w:val="72"/>
      </w:trPr>
      <w:tc>
        <w:tcPr>
          <w:tcW w:w="159" w:type="pct"/>
          <w:tcBorders>
            <w:bottom w:val="single" w:sz="4" w:space="0" w:color="auto"/>
          </w:tcBorders>
          <w:vAlign w:val="bottom"/>
        </w:tcPr>
        <w:p w14:paraId="131DC852" w14:textId="77777777" w:rsidR="00626685" w:rsidRPr="00660499" w:rsidRDefault="00626685">
          <w:pPr>
            <w:pStyle w:val="Encabezado"/>
            <w:jc w:val="right"/>
            <w:rPr>
              <w:color w:val="FFFFFF" w:themeColor="background1"/>
              <w:sz w:val="24"/>
              <w:szCs w:val="24"/>
            </w:rPr>
          </w:pPr>
        </w:p>
      </w:tc>
      <w:tc>
        <w:tcPr>
          <w:tcW w:w="4841" w:type="pct"/>
          <w:tcBorders>
            <w:bottom w:val="single" w:sz="4" w:space="0" w:color="943634" w:themeColor="accent2" w:themeShade="BF"/>
          </w:tcBorders>
          <w:shd w:val="clear" w:color="auto" w:fill="C00000"/>
          <w:vAlign w:val="bottom"/>
        </w:tcPr>
        <w:p w14:paraId="789AC03C" w14:textId="10A897B4" w:rsidR="00626685" w:rsidRPr="00EA1085" w:rsidRDefault="00626685" w:rsidP="00F1220F">
          <w:pPr>
            <w:spacing w:after="0"/>
            <w:ind w:firstLine="284"/>
            <w:jc w:val="right"/>
            <w:rPr>
              <w:rFonts w:cs="Arial"/>
              <w:i/>
              <w:iCs/>
              <w:noProof/>
              <w:color w:val="FFFFFF" w:themeColor="background1"/>
              <w:sz w:val="18"/>
              <w:szCs w:val="20"/>
            </w:rPr>
          </w:pPr>
          <w:r>
            <w:rPr>
              <w:rFonts w:cs="Arial"/>
              <w:i/>
              <w:iCs/>
              <w:noProof/>
              <w:color w:val="FFFFFF" w:themeColor="background1"/>
              <w:sz w:val="18"/>
              <w:szCs w:val="20"/>
            </w:rPr>
            <w:t>Sandra Valbuena Antolìnez / Diana Mayerly Acero Ramírez</w:t>
          </w:r>
        </w:p>
      </w:tc>
    </w:tr>
  </w:tbl>
  <w:p w14:paraId="394F4758" w14:textId="77777777" w:rsidR="00626685" w:rsidRPr="00582DB4" w:rsidRDefault="00626685" w:rsidP="004321F1">
    <w:pPr>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7DE39" w14:textId="49C31A76" w:rsidR="00626685" w:rsidRDefault="00D74E2F" w:rsidP="00BC30EE">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9776" behindDoc="0" locked="0" layoutInCell="1" allowOverlap="1" wp14:anchorId="3BBA25AF" wp14:editId="1D7072B7">
              <wp:simplePos x="0" y="0"/>
              <wp:positionH relativeFrom="margin">
                <wp:posOffset>-66040</wp:posOffset>
              </wp:positionH>
              <wp:positionV relativeFrom="paragraph">
                <wp:posOffset>-3175</wp:posOffset>
              </wp:positionV>
              <wp:extent cx="1498600" cy="38100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381000"/>
                      </a:xfrm>
                      <a:prstGeom prst="rect">
                        <a:avLst/>
                      </a:prstGeom>
                      <a:noFill/>
                      <a:ln w="9525">
                        <a:noFill/>
                        <a:miter lim="800000"/>
                        <a:headEnd/>
                        <a:tailEnd/>
                      </a:ln>
                    </wps:spPr>
                    <wps:txbx>
                      <w:txbxContent>
                        <w:p w14:paraId="5822DFFD" w14:textId="77777777" w:rsidR="00626685" w:rsidRPr="00C90198" w:rsidRDefault="00626685" w:rsidP="00BC30EE">
                          <w:pPr>
                            <w:spacing w:after="0"/>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4CF7D6C9" w14:textId="77777777" w:rsidR="00626685" w:rsidRPr="00D74E2F" w:rsidRDefault="00626685" w:rsidP="00BC30EE">
                          <w:pPr>
                            <w:spacing w:after="0"/>
                            <w:rPr>
                              <w:rFonts w:cs="Arial"/>
                              <w:sz w:val="16"/>
                              <w:szCs w:val="16"/>
                              <w:lang w:val="es-EC"/>
                            </w:rPr>
                          </w:pPr>
                          <w:r w:rsidRPr="00D74E2F">
                            <w:rPr>
                              <w:rFonts w:cs="Arial"/>
                              <w:sz w:val="16"/>
                              <w:szCs w:val="16"/>
                              <w:lang w:val="es-EC"/>
                            </w:rPr>
                            <w:t>e-ISSN: 2602-8247</w:t>
                          </w:r>
                        </w:p>
                        <w:p w14:paraId="5AF7A9BF" w14:textId="77777777" w:rsidR="00626685" w:rsidRPr="00D74E2F" w:rsidRDefault="005F7DA2" w:rsidP="00BC30EE">
                          <w:pPr>
                            <w:spacing w:after="0"/>
                            <w:rPr>
                              <w:rFonts w:cs="Arial"/>
                              <w:sz w:val="16"/>
                              <w:szCs w:val="16"/>
                              <w:lang w:val="es-EC"/>
                            </w:rPr>
                          </w:pPr>
                          <w:hyperlink r:id="rId1" w:history="1">
                            <w:r w:rsidR="00626685" w:rsidRPr="00D74E2F">
                              <w:rPr>
                                <w:rStyle w:val="Hipervnculo"/>
                                <w:rFonts w:cs="Arial"/>
                                <w:color w:val="auto"/>
                                <w:sz w:val="16"/>
                                <w:szCs w:val="16"/>
                                <w:u w:val="none"/>
                                <w:lang w:val="es-EC"/>
                              </w:rPr>
                              <w:t>www.retosdelacienciaec.com</w:t>
                            </w:r>
                          </w:hyperlink>
                          <w:r w:rsidR="00626685" w:rsidRPr="00D74E2F">
                            <w:rPr>
                              <w:rFonts w:cs="Arial"/>
                              <w:sz w:val="16"/>
                              <w:szCs w:val="16"/>
                              <w:lang w:val="es-EC"/>
                            </w:rPr>
                            <w:t xml:space="preserve"> </w:t>
                          </w:r>
                        </w:p>
                      </w:txbxContent>
                    </wps:txbx>
                    <wps:bodyPr rot="0" vert="horz" wrap="square" lIns="36000" tIns="0" rIns="72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BA25AF" id="_x0000_t202" coordsize="21600,21600" o:spt="202" path="m,l,21600r21600,l21600,xe">
              <v:stroke joinstyle="miter"/>
              <v:path gradientshapeok="t" o:connecttype="rect"/>
            </v:shapetype>
            <v:shape id="_x0000_s1027" type="#_x0000_t202" style="position:absolute;left:0;text-align:left;margin-left:-5.2pt;margin-top:-.25pt;width:118pt;height:30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" filled="f" stroked="f">
              <v:textbox inset="1mm,0,2mm,0">
                <w:txbxContent>
                  <w:p w14:paraId="5822DFFD" w14:textId="77777777" w:rsidR="00626685" w:rsidRPr="00C90198" w:rsidRDefault="00626685" w:rsidP="00BC30EE">
                    <w:pPr>
                      <w:spacing w:after="0"/>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4CF7D6C9" w14:textId="77777777" w:rsidR="00626685" w:rsidRPr="00D74E2F" w:rsidRDefault="00626685" w:rsidP="00BC30EE">
                    <w:pPr>
                      <w:spacing w:after="0"/>
                      <w:rPr>
                        <w:rFonts w:cs="Arial"/>
                        <w:sz w:val="16"/>
                        <w:szCs w:val="16"/>
                        <w:lang w:val="es-EC"/>
                      </w:rPr>
                    </w:pPr>
                    <w:r w:rsidRPr="00D74E2F">
                      <w:rPr>
                        <w:rFonts w:cs="Arial"/>
                        <w:sz w:val="16"/>
                        <w:szCs w:val="16"/>
                        <w:lang w:val="es-EC"/>
                      </w:rPr>
                      <w:t>e-ISSN: 2602-8247</w:t>
                    </w:r>
                  </w:p>
                  <w:p w14:paraId="5AF7A9BF" w14:textId="77777777" w:rsidR="00626685" w:rsidRPr="00D74E2F" w:rsidRDefault="005F7DA2" w:rsidP="00BC30EE">
                    <w:pPr>
                      <w:spacing w:after="0"/>
                      <w:rPr>
                        <w:rFonts w:cs="Arial"/>
                        <w:sz w:val="16"/>
                        <w:szCs w:val="16"/>
                        <w:lang w:val="es-EC"/>
                      </w:rPr>
                    </w:pPr>
                    <w:hyperlink r:id="rId2" w:history="1">
                      <w:r w:rsidR="00626685" w:rsidRPr="00D74E2F">
                        <w:rPr>
                          <w:rStyle w:val="Hipervnculo"/>
                          <w:rFonts w:cs="Arial"/>
                          <w:color w:val="auto"/>
                          <w:sz w:val="16"/>
                          <w:szCs w:val="16"/>
                          <w:u w:val="none"/>
                          <w:lang w:val="es-EC"/>
                        </w:rPr>
                        <w:t>www.retosdelacienciaec.com</w:t>
                      </w:r>
                    </w:hyperlink>
                    <w:r w:rsidR="00626685" w:rsidRPr="00D74E2F">
                      <w:rPr>
                        <w:rFonts w:cs="Arial"/>
                        <w:sz w:val="16"/>
                        <w:szCs w:val="16"/>
                        <w:lang w:val="es-EC"/>
                      </w:rPr>
                      <w:t xml:space="preserve"> </w:t>
                    </w:r>
                  </w:p>
                </w:txbxContent>
              </v:textbox>
              <w10:wrap anchorx="margin"/>
            </v:shape>
          </w:pict>
        </mc:Fallback>
      </mc:AlternateContent>
    </w:r>
    <w:r w:rsidR="00626685">
      <w:rPr>
        <w:noProof/>
        <w:lang w:val="en-US"/>
      </w:rPr>
      <mc:AlternateContent>
        <mc:Choice Requires="wps">
          <w:drawing>
            <wp:anchor distT="0" distB="0" distL="114300" distR="114300" simplePos="0" relativeHeight="251655680" behindDoc="0" locked="0" layoutInCell="1" allowOverlap="1" wp14:anchorId="7C5528BD" wp14:editId="7DED9BC9">
              <wp:simplePos x="0" y="0"/>
              <wp:positionH relativeFrom="column">
                <wp:posOffset>3573780</wp:posOffset>
              </wp:positionH>
              <wp:positionV relativeFrom="paragraph">
                <wp:posOffset>-10160</wp:posOffset>
              </wp:positionV>
              <wp:extent cx="2200910" cy="1403985"/>
              <wp:effectExtent l="0" t="0" r="889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910" cy="1403985"/>
                      </a:xfrm>
                      <a:prstGeom prst="rect">
                        <a:avLst/>
                      </a:prstGeom>
                      <a:noFill/>
                      <a:ln w="9525">
                        <a:noFill/>
                        <a:miter lim="800000"/>
                        <a:headEnd/>
                        <a:tailEnd/>
                      </a:ln>
                    </wps:spPr>
                    <wps:txbx>
                      <w:txbxContent>
                        <w:p w14:paraId="06556524" w14:textId="41505962" w:rsidR="00626685" w:rsidRPr="00D74E2F" w:rsidRDefault="00626685" w:rsidP="00BC30EE">
                          <w:pPr>
                            <w:spacing w:after="0"/>
                            <w:jc w:val="right"/>
                            <w:rPr>
                              <w:rFonts w:cs="Arial"/>
                              <w:sz w:val="16"/>
                              <w:szCs w:val="16"/>
                              <w:lang w:val="es-EC"/>
                            </w:rPr>
                          </w:pPr>
                          <w:r w:rsidRPr="00402221">
                            <w:rPr>
                              <w:rFonts w:ascii="ErasITCbyBT-Light" w:hAnsi="ErasITCbyBT-Light" w:cs="ErasITCbyBT-Light"/>
                              <w:sz w:val="16"/>
                              <w:szCs w:val="16"/>
                              <w:lang w:val="es-EC"/>
                            </w:rPr>
                            <w:t xml:space="preserve">       </w:t>
                          </w:r>
                          <w:r w:rsidRPr="00D74E2F">
                            <w:rPr>
                              <w:rFonts w:cs="Arial"/>
                              <w:sz w:val="16"/>
                              <w:szCs w:val="16"/>
                              <w:lang w:val="es-EC"/>
                            </w:rPr>
                            <w:t>julio 2023</w:t>
                          </w:r>
                        </w:p>
                        <w:p w14:paraId="1515C477" w14:textId="5102E840" w:rsidR="00626685" w:rsidRPr="00D74E2F" w:rsidRDefault="00626685" w:rsidP="00BC30EE">
                          <w:pPr>
                            <w:spacing w:after="0"/>
                            <w:jc w:val="right"/>
                            <w:rPr>
                              <w:rFonts w:cs="Arial"/>
                              <w:sz w:val="16"/>
                              <w:szCs w:val="16"/>
                              <w:lang w:val="es-EC"/>
                            </w:rPr>
                          </w:pPr>
                          <w:r w:rsidRPr="00D74E2F">
                            <w:rPr>
                              <w:rFonts w:cs="Arial"/>
                              <w:sz w:val="16"/>
                              <w:szCs w:val="16"/>
                              <w:lang w:val="es-EC"/>
                            </w:rPr>
                            <w:t>Vol. 7, No. 15, 60-73</w:t>
                          </w:r>
                        </w:p>
                        <w:p w14:paraId="7F1EB56C" w14:textId="05B7531D" w:rsidR="00626685" w:rsidRPr="006926B6" w:rsidRDefault="00D74E2F" w:rsidP="00BC30EE">
                          <w:pPr>
                            <w:spacing w:after="0"/>
                            <w:jc w:val="right"/>
                            <w:rPr>
                              <w:rFonts w:ascii="ErasITCbyBT-Light" w:hAnsi="ErasITCbyBT-Light" w:cs="ErasITCbyBT-Light"/>
                              <w:sz w:val="16"/>
                              <w:szCs w:val="16"/>
                              <w:lang w:val="es-EC"/>
                            </w:rPr>
                          </w:pPr>
                          <w:r w:rsidRPr="00D74E2F">
                            <w:rPr>
                              <w:rFonts w:cs="Arial"/>
                              <w:sz w:val="16"/>
                              <w:szCs w:val="16"/>
                            </w:rPr>
                            <w:t>https://doi.org/10.53877/rc.7.15.2023070107</w:t>
                          </w:r>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5528BD" id="_x0000_s1028" type="#_x0000_t202" style="position:absolute;left:0;text-align:left;margin-left:281.4pt;margin-top:-.8pt;width:173.3pt;height:110.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" filled="f" stroked="f">
              <v:textbox style="mso-fit-shape-to-text:t" inset="1mm,0,1mm,0">
                <w:txbxContent>
                  <w:p w14:paraId="06556524" w14:textId="41505962" w:rsidR="00626685" w:rsidRPr="00D74E2F" w:rsidRDefault="00626685" w:rsidP="00BC30EE">
                    <w:pPr>
                      <w:spacing w:after="0"/>
                      <w:jc w:val="right"/>
                      <w:rPr>
                        <w:rFonts w:cs="Arial"/>
                        <w:sz w:val="16"/>
                        <w:szCs w:val="16"/>
                        <w:lang w:val="es-EC"/>
                      </w:rPr>
                    </w:pPr>
                    <w:r w:rsidRPr="00402221">
                      <w:rPr>
                        <w:rFonts w:ascii="ErasITCbyBT-Light" w:hAnsi="ErasITCbyBT-Light" w:cs="ErasITCbyBT-Light"/>
                        <w:sz w:val="16"/>
                        <w:szCs w:val="16"/>
                        <w:lang w:val="es-EC"/>
                      </w:rPr>
                      <w:t xml:space="preserve">       </w:t>
                    </w:r>
                    <w:r w:rsidRPr="00D74E2F">
                      <w:rPr>
                        <w:rFonts w:cs="Arial"/>
                        <w:sz w:val="16"/>
                        <w:szCs w:val="16"/>
                        <w:lang w:val="es-EC"/>
                      </w:rPr>
                      <w:t>julio 2023</w:t>
                    </w:r>
                  </w:p>
                  <w:p w14:paraId="1515C477" w14:textId="5102E840" w:rsidR="00626685" w:rsidRPr="00D74E2F" w:rsidRDefault="00626685" w:rsidP="00BC30EE">
                    <w:pPr>
                      <w:spacing w:after="0"/>
                      <w:jc w:val="right"/>
                      <w:rPr>
                        <w:rFonts w:cs="Arial"/>
                        <w:sz w:val="16"/>
                        <w:szCs w:val="16"/>
                        <w:lang w:val="es-EC"/>
                      </w:rPr>
                    </w:pPr>
                    <w:r w:rsidRPr="00D74E2F">
                      <w:rPr>
                        <w:rFonts w:cs="Arial"/>
                        <w:sz w:val="16"/>
                        <w:szCs w:val="16"/>
                        <w:lang w:val="es-EC"/>
                      </w:rPr>
                      <w:t>Vol. 7, No. 15, 60-73</w:t>
                    </w:r>
                  </w:p>
                  <w:p w14:paraId="7F1EB56C" w14:textId="05B7531D" w:rsidR="00626685" w:rsidRPr="006926B6" w:rsidRDefault="00D74E2F" w:rsidP="00BC30EE">
                    <w:pPr>
                      <w:spacing w:after="0"/>
                      <w:jc w:val="right"/>
                      <w:rPr>
                        <w:rFonts w:ascii="ErasITCbyBT-Light" w:hAnsi="ErasITCbyBT-Light" w:cs="ErasITCbyBT-Light"/>
                        <w:sz w:val="16"/>
                        <w:szCs w:val="16"/>
                        <w:lang w:val="es-EC"/>
                      </w:rPr>
                    </w:pPr>
                    <w:r w:rsidRPr="00D74E2F">
                      <w:rPr>
                        <w:rFonts w:cs="Arial"/>
                        <w:sz w:val="16"/>
                        <w:szCs w:val="16"/>
                      </w:rPr>
                      <w:t>https://doi.org/10.53877/rc.7.15.2023070107</w:t>
                    </w:r>
                  </w:p>
                </w:txbxContent>
              </v:textbox>
            </v:shape>
          </w:pict>
        </mc:Fallback>
      </mc:AlternateContent>
    </w:r>
    <w:r w:rsidR="00626685">
      <w:rPr>
        <w:noProof/>
        <w:lang w:val="en-US"/>
      </w:rPr>
      <w:drawing>
        <wp:anchor distT="0" distB="0" distL="114300" distR="114300" simplePos="0" relativeHeight="251658752" behindDoc="0" locked="0" layoutInCell="1" allowOverlap="1" wp14:anchorId="70AFE2CE" wp14:editId="1F7E6EE6">
          <wp:simplePos x="0" y="0"/>
          <wp:positionH relativeFrom="margin">
            <wp:align>center</wp:align>
          </wp:positionH>
          <wp:positionV relativeFrom="paragraph">
            <wp:posOffset>125730</wp:posOffset>
          </wp:positionV>
          <wp:extent cx="617855" cy="219075"/>
          <wp:effectExtent l="0" t="0" r="0" b="9525"/>
          <wp:wrapNone/>
          <wp:docPr id="5" name="Imagen 5">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a:hlinkClick r:id="rId3"/>
                  </pic:cNvPr>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219075"/>
                  </a:xfrm>
                  <a:prstGeom prst="rect">
                    <a:avLst/>
                  </a:prstGeom>
                  <a:noFill/>
                </pic:spPr>
              </pic:pic>
            </a:graphicData>
          </a:graphic>
        </wp:anchor>
      </w:drawing>
    </w:r>
    <w:r w:rsidR="00626685">
      <w:rPr>
        <w:noProof/>
        <w:lang w:val="en-US"/>
      </w:rPr>
      <w:drawing>
        <wp:anchor distT="0" distB="0" distL="114300" distR="114300" simplePos="0" relativeHeight="251656704" behindDoc="0" locked="0" layoutInCell="1" allowOverlap="1" wp14:anchorId="6DF9B297" wp14:editId="50713137">
          <wp:simplePos x="0" y="0"/>
          <wp:positionH relativeFrom="margin">
            <wp:posOffset>-22860</wp:posOffset>
          </wp:positionH>
          <wp:positionV relativeFrom="paragraph">
            <wp:posOffset>-174262</wp:posOffset>
          </wp:positionV>
          <wp:extent cx="1207135" cy="184785"/>
          <wp:effectExtent l="0" t="0" r="0" b="5715"/>
          <wp:wrapNone/>
          <wp:docPr id="8"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1207135" cy="184785"/>
                  </a:xfrm>
                  <a:prstGeom prst="rect">
                    <a:avLst/>
                  </a:prstGeom>
                  <a:noFill/>
                  <a:ln>
                    <a:noFill/>
                  </a:ln>
                </pic:spPr>
              </pic:pic>
            </a:graphicData>
          </a:graphic>
          <wp14:sizeRelH relativeFrom="page">
            <wp14:pctWidth>0</wp14:pctWidth>
          </wp14:sizeRelH>
          <wp14:sizeRelV relativeFrom="page">
            <wp14:pctHeight>0</wp14:pctHeight>
          </wp14:sizeRelV>
        </wp:anchor>
      </w:drawing>
    </w:r>
    <w:r w:rsidR="00626685">
      <w:rPr>
        <w:noProof/>
        <w:lang w:val="en-US"/>
      </w:rPr>
      <mc:AlternateContent>
        <mc:Choice Requires="wps">
          <w:drawing>
            <wp:anchor distT="0" distB="0" distL="114300" distR="114300" simplePos="0" relativeHeight="251657728" behindDoc="0" locked="0" layoutInCell="1" allowOverlap="1" wp14:anchorId="30F7DAEF" wp14:editId="2179E5A5">
              <wp:simplePos x="0" y="0"/>
              <wp:positionH relativeFrom="margin">
                <wp:align>center</wp:align>
              </wp:positionH>
              <wp:positionV relativeFrom="paragraph">
                <wp:posOffset>376555</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DA2970" id="7 Conector recto"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9.65pt" to="453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" strokecolor="#943634 [2405]">
              <w10:wrap anchorx="margin"/>
            </v:line>
          </w:pict>
        </mc:Fallback>
      </mc:AlternateContent>
    </w:r>
  </w:p>
  <w:p w14:paraId="488B2CFC" w14:textId="00318203" w:rsidR="00626685" w:rsidRPr="00BC30EE" w:rsidRDefault="00626685" w:rsidP="00BC30E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74F"/>
    <w:multiLevelType w:val="hybridMultilevel"/>
    <w:tmpl w:val="A9C8DF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D193674"/>
    <w:multiLevelType w:val="hybridMultilevel"/>
    <w:tmpl w:val="0486F1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D576674"/>
    <w:multiLevelType w:val="hybridMultilevel"/>
    <w:tmpl w:val="CB96D7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3BC3790"/>
    <w:multiLevelType w:val="hybridMultilevel"/>
    <w:tmpl w:val="33B070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6086494"/>
    <w:multiLevelType w:val="hybridMultilevel"/>
    <w:tmpl w:val="368AAE0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1D5D2A25"/>
    <w:multiLevelType w:val="multilevel"/>
    <w:tmpl w:val="F54AA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042E90"/>
    <w:multiLevelType w:val="hybridMultilevel"/>
    <w:tmpl w:val="5FB89B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44A12A01"/>
    <w:multiLevelType w:val="hybridMultilevel"/>
    <w:tmpl w:val="619C31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4D2F3A35"/>
    <w:multiLevelType w:val="hybridMultilevel"/>
    <w:tmpl w:val="0DA4888A"/>
    <w:lvl w:ilvl="0" w:tplc="484E3D2C">
      <w:start w:val="1"/>
      <w:numFmt w:val="bullet"/>
      <w:lvlText w:val="-"/>
      <w:lvlJc w:val="left"/>
      <w:pPr>
        <w:ind w:left="360" w:hanging="360"/>
      </w:pPr>
      <w:rPr>
        <w:rFonts w:ascii="Arial" w:eastAsia="Times New Roman"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3" w15:restartNumberingAfterBreak="0">
    <w:nsid w:val="555B56BA"/>
    <w:multiLevelType w:val="hybridMultilevel"/>
    <w:tmpl w:val="A1C218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57325CDF"/>
    <w:multiLevelType w:val="hybridMultilevel"/>
    <w:tmpl w:val="F886ED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6E4804CA"/>
    <w:multiLevelType w:val="hybridMultilevel"/>
    <w:tmpl w:val="6B643B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6E4D4E27"/>
    <w:multiLevelType w:val="hybridMultilevel"/>
    <w:tmpl w:val="A65A4A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6EA57714"/>
    <w:multiLevelType w:val="multilevel"/>
    <w:tmpl w:val="369085B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3D1049"/>
    <w:multiLevelType w:val="hybridMultilevel"/>
    <w:tmpl w:val="042203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E083BD0"/>
    <w:multiLevelType w:val="hybridMultilevel"/>
    <w:tmpl w:val="321253F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
  </w:num>
  <w:num w:numId="4">
    <w:abstractNumId w:val="6"/>
  </w:num>
  <w:num w:numId="5">
    <w:abstractNumId w:val="0"/>
  </w:num>
  <w:num w:numId="6">
    <w:abstractNumId w:val="5"/>
  </w:num>
  <w:num w:numId="7">
    <w:abstractNumId w:val="15"/>
  </w:num>
  <w:num w:numId="8">
    <w:abstractNumId w:val="4"/>
  </w:num>
  <w:num w:numId="9">
    <w:abstractNumId w:val="11"/>
  </w:num>
  <w:num w:numId="10">
    <w:abstractNumId w:val="2"/>
  </w:num>
  <w:num w:numId="11">
    <w:abstractNumId w:val="13"/>
  </w:num>
  <w:num w:numId="12">
    <w:abstractNumId w:val="9"/>
  </w:num>
  <w:num w:numId="13">
    <w:abstractNumId w:val="19"/>
  </w:num>
  <w:num w:numId="14">
    <w:abstractNumId w:val="3"/>
  </w:num>
  <w:num w:numId="15">
    <w:abstractNumId w:val="16"/>
  </w:num>
  <w:num w:numId="16">
    <w:abstractNumId w:val="18"/>
  </w:num>
  <w:num w:numId="17">
    <w:abstractNumId w:val="14"/>
  </w:num>
  <w:num w:numId="18">
    <w:abstractNumId w:val="12"/>
  </w:num>
  <w:num w:numId="19">
    <w:abstractNumId w:val="17"/>
  </w:num>
  <w:num w:numId="2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F9"/>
    <w:rsid w:val="00004539"/>
    <w:rsid w:val="00010203"/>
    <w:rsid w:val="000110E5"/>
    <w:rsid w:val="00016075"/>
    <w:rsid w:val="000164AF"/>
    <w:rsid w:val="00020BE7"/>
    <w:rsid w:val="000361C4"/>
    <w:rsid w:val="00042B81"/>
    <w:rsid w:val="00051C32"/>
    <w:rsid w:val="0005398C"/>
    <w:rsid w:val="000558C0"/>
    <w:rsid w:val="00066A77"/>
    <w:rsid w:val="00067D3E"/>
    <w:rsid w:val="000713F5"/>
    <w:rsid w:val="00077C44"/>
    <w:rsid w:val="00080356"/>
    <w:rsid w:val="000838B2"/>
    <w:rsid w:val="000843B5"/>
    <w:rsid w:val="00087856"/>
    <w:rsid w:val="00092057"/>
    <w:rsid w:val="00093439"/>
    <w:rsid w:val="00095D16"/>
    <w:rsid w:val="000A2983"/>
    <w:rsid w:val="000B6BE6"/>
    <w:rsid w:val="000C4247"/>
    <w:rsid w:val="000C480F"/>
    <w:rsid w:val="000D22DD"/>
    <w:rsid w:val="000D682A"/>
    <w:rsid w:val="000E2AB9"/>
    <w:rsid w:val="000E602D"/>
    <w:rsid w:val="000F4B2A"/>
    <w:rsid w:val="00102F7E"/>
    <w:rsid w:val="0010472B"/>
    <w:rsid w:val="0011127F"/>
    <w:rsid w:val="00116AB0"/>
    <w:rsid w:val="00124EEE"/>
    <w:rsid w:val="00137C4B"/>
    <w:rsid w:val="001453CF"/>
    <w:rsid w:val="00151E43"/>
    <w:rsid w:val="00172AF8"/>
    <w:rsid w:val="00176F8F"/>
    <w:rsid w:val="001775BE"/>
    <w:rsid w:val="001846CF"/>
    <w:rsid w:val="0018757B"/>
    <w:rsid w:val="00194DD5"/>
    <w:rsid w:val="001A0294"/>
    <w:rsid w:val="001A7EBA"/>
    <w:rsid w:val="001B0901"/>
    <w:rsid w:val="001B13B6"/>
    <w:rsid w:val="001B2354"/>
    <w:rsid w:val="001C38AB"/>
    <w:rsid w:val="001D3513"/>
    <w:rsid w:val="001F0DDF"/>
    <w:rsid w:val="001F5808"/>
    <w:rsid w:val="002019E0"/>
    <w:rsid w:val="00207DE2"/>
    <w:rsid w:val="00211925"/>
    <w:rsid w:val="0022393F"/>
    <w:rsid w:val="002268BD"/>
    <w:rsid w:val="00232DBA"/>
    <w:rsid w:val="00245C22"/>
    <w:rsid w:val="00253229"/>
    <w:rsid w:val="002577A5"/>
    <w:rsid w:val="00280F94"/>
    <w:rsid w:val="002A065C"/>
    <w:rsid w:val="002A2CE1"/>
    <w:rsid w:val="002B5753"/>
    <w:rsid w:val="002C0047"/>
    <w:rsid w:val="002D2CFD"/>
    <w:rsid w:val="002E4AD6"/>
    <w:rsid w:val="002F49CF"/>
    <w:rsid w:val="00300DF7"/>
    <w:rsid w:val="00302EBF"/>
    <w:rsid w:val="003042EB"/>
    <w:rsid w:val="0031249A"/>
    <w:rsid w:val="00321358"/>
    <w:rsid w:val="00323BB1"/>
    <w:rsid w:val="00332581"/>
    <w:rsid w:val="003333A2"/>
    <w:rsid w:val="00335368"/>
    <w:rsid w:val="003432E9"/>
    <w:rsid w:val="00346678"/>
    <w:rsid w:val="0036591A"/>
    <w:rsid w:val="00366230"/>
    <w:rsid w:val="00367018"/>
    <w:rsid w:val="00382886"/>
    <w:rsid w:val="00382D83"/>
    <w:rsid w:val="003A1994"/>
    <w:rsid w:val="003A27DD"/>
    <w:rsid w:val="003A4EF9"/>
    <w:rsid w:val="003B5262"/>
    <w:rsid w:val="003B6661"/>
    <w:rsid w:val="003B6CDB"/>
    <w:rsid w:val="003C189C"/>
    <w:rsid w:val="003C1CD1"/>
    <w:rsid w:val="003D46B3"/>
    <w:rsid w:val="003E0CB3"/>
    <w:rsid w:val="003F0E39"/>
    <w:rsid w:val="003F5291"/>
    <w:rsid w:val="003F6958"/>
    <w:rsid w:val="00406CD9"/>
    <w:rsid w:val="00414553"/>
    <w:rsid w:val="004159C9"/>
    <w:rsid w:val="00416C03"/>
    <w:rsid w:val="00422874"/>
    <w:rsid w:val="004321F1"/>
    <w:rsid w:val="0043380F"/>
    <w:rsid w:val="004349A6"/>
    <w:rsid w:val="00435E52"/>
    <w:rsid w:val="004479BD"/>
    <w:rsid w:val="00466C54"/>
    <w:rsid w:val="00467727"/>
    <w:rsid w:val="00476CA5"/>
    <w:rsid w:val="00477654"/>
    <w:rsid w:val="00480C71"/>
    <w:rsid w:val="004824DA"/>
    <w:rsid w:val="004953F0"/>
    <w:rsid w:val="004A72CE"/>
    <w:rsid w:val="004C4926"/>
    <w:rsid w:val="004C4A75"/>
    <w:rsid w:val="004D051F"/>
    <w:rsid w:val="004D6F02"/>
    <w:rsid w:val="004D7876"/>
    <w:rsid w:val="004E43AE"/>
    <w:rsid w:val="004E4E0D"/>
    <w:rsid w:val="004E6B70"/>
    <w:rsid w:val="004E6E86"/>
    <w:rsid w:val="004F2502"/>
    <w:rsid w:val="004F2D1C"/>
    <w:rsid w:val="004F565D"/>
    <w:rsid w:val="00502F19"/>
    <w:rsid w:val="005106B6"/>
    <w:rsid w:val="00511442"/>
    <w:rsid w:val="00522B36"/>
    <w:rsid w:val="00533620"/>
    <w:rsid w:val="00536F3F"/>
    <w:rsid w:val="005463D8"/>
    <w:rsid w:val="00550ECB"/>
    <w:rsid w:val="00562375"/>
    <w:rsid w:val="00563B92"/>
    <w:rsid w:val="00565B2A"/>
    <w:rsid w:val="0057415E"/>
    <w:rsid w:val="005802B2"/>
    <w:rsid w:val="00582DB4"/>
    <w:rsid w:val="00587ECB"/>
    <w:rsid w:val="005919BA"/>
    <w:rsid w:val="00592C4B"/>
    <w:rsid w:val="00597908"/>
    <w:rsid w:val="005A6AE9"/>
    <w:rsid w:val="005A77BD"/>
    <w:rsid w:val="005B1F52"/>
    <w:rsid w:val="005B20F6"/>
    <w:rsid w:val="005B258D"/>
    <w:rsid w:val="005B6951"/>
    <w:rsid w:val="005C51FA"/>
    <w:rsid w:val="005D0922"/>
    <w:rsid w:val="005D2651"/>
    <w:rsid w:val="005E2AED"/>
    <w:rsid w:val="005E5B2F"/>
    <w:rsid w:val="005F74E6"/>
    <w:rsid w:val="005F7DA2"/>
    <w:rsid w:val="006008DB"/>
    <w:rsid w:val="00602E38"/>
    <w:rsid w:val="00603ECA"/>
    <w:rsid w:val="00605D24"/>
    <w:rsid w:val="00612D91"/>
    <w:rsid w:val="00621D30"/>
    <w:rsid w:val="00626296"/>
    <w:rsid w:val="00626685"/>
    <w:rsid w:val="006375EC"/>
    <w:rsid w:val="00640CCD"/>
    <w:rsid w:val="00641950"/>
    <w:rsid w:val="00644A5E"/>
    <w:rsid w:val="00660499"/>
    <w:rsid w:val="00662BB1"/>
    <w:rsid w:val="00666878"/>
    <w:rsid w:val="00670ECB"/>
    <w:rsid w:val="00672F74"/>
    <w:rsid w:val="00682353"/>
    <w:rsid w:val="00687B3C"/>
    <w:rsid w:val="006926B6"/>
    <w:rsid w:val="00696308"/>
    <w:rsid w:val="006A3B9D"/>
    <w:rsid w:val="006A6FB1"/>
    <w:rsid w:val="006D0EC9"/>
    <w:rsid w:val="006D1655"/>
    <w:rsid w:val="006D7FD4"/>
    <w:rsid w:val="006F2BD2"/>
    <w:rsid w:val="007034BB"/>
    <w:rsid w:val="00704E05"/>
    <w:rsid w:val="007072CA"/>
    <w:rsid w:val="0071230C"/>
    <w:rsid w:val="00712D6A"/>
    <w:rsid w:val="00713150"/>
    <w:rsid w:val="007171D6"/>
    <w:rsid w:val="00726878"/>
    <w:rsid w:val="007314B4"/>
    <w:rsid w:val="0074251D"/>
    <w:rsid w:val="00744D1C"/>
    <w:rsid w:val="007472C8"/>
    <w:rsid w:val="007508E0"/>
    <w:rsid w:val="007551FD"/>
    <w:rsid w:val="007619AD"/>
    <w:rsid w:val="0076793E"/>
    <w:rsid w:val="007711AF"/>
    <w:rsid w:val="00771759"/>
    <w:rsid w:val="007719E5"/>
    <w:rsid w:val="00774B5F"/>
    <w:rsid w:val="00775C04"/>
    <w:rsid w:val="00776A48"/>
    <w:rsid w:val="00780739"/>
    <w:rsid w:val="00783FB3"/>
    <w:rsid w:val="007A1AC7"/>
    <w:rsid w:val="007A2470"/>
    <w:rsid w:val="007B3012"/>
    <w:rsid w:val="007B3F7C"/>
    <w:rsid w:val="007C6204"/>
    <w:rsid w:val="007C7770"/>
    <w:rsid w:val="007D241B"/>
    <w:rsid w:val="007E1F88"/>
    <w:rsid w:val="007E5122"/>
    <w:rsid w:val="007E5BE9"/>
    <w:rsid w:val="008026DF"/>
    <w:rsid w:val="00803B67"/>
    <w:rsid w:val="008141DA"/>
    <w:rsid w:val="00817254"/>
    <w:rsid w:val="00820E99"/>
    <w:rsid w:val="008330C6"/>
    <w:rsid w:val="00834712"/>
    <w:rsid w:val="00851698"/>
    <w:rsid w:val="00853534"/>
    <w:rsid w:val="00860EC5"/>
    <w:rsid w:val="00863344"/>
    <w:rsid w:val="00864511"/>
    <w:rsid w:val="00872FC4"/>
    <w:rsid w:val="00881EE0"/>
    <w:rsid w:val="008A0053"/>
    <w:rsid w:val="008B04AC"/>
    <w:rsid w:val="008C098C"/>
    <w:rsid w:val="008C0C8C"/>
    <w:rsid w:val="008C1A08"/>
    <w:rsid w:val="008C5185"/>
    <w:rsid w:val="008D1A32"/>
    <w:rsid w:val="008F37C3"/>
    <w:rsid w:val="008F41C0"/>
    <w:rsid w:val="009063AA"/>
    <w:rsid w:val="00910F68"/>
    <w:rsid w:val="009201B2"/>
    <w:rsid w:val="00920C70"/>
    <w:rsid w:val="00930C66"/>
    <w:rsid w:val="00933C95"/>
    <w:rsid w:val="009362F5"/>
    <w:rsid w:val="0094681A"/>
    <w:rsid w:val="00952B91"/>
    <w:rsid w:val="00955E01"/>
    <w:rsid w:val="00970268"/>
    <w:rsid w:val="00980944"/>
    <w:rsid w:val="009864AB"/>
    <w:rsid w:val="009911D5"/>
    <w:rsid w:val="009958D0"/>
    <w:rsid w:val="009A2349"/>
    <w:rsid w:val="009B17A7"/>
    <w:rsid w:val="009B7046"/>
    <w:rsid w:val="009B75D1"/>
    <w:rsid w:val="009C089A"/>
    <w:rsid w:val="009C38F4"/>
    <w:rsid w:val="009D5410"/>
    <w:rsid w:val="009E526A"/>
    <w:rsid w:val="009E628B"/>
    <w:rsid w:val="009F1887"/>
    <w:rsid w:val="00A02E30"/>
    <w:rsid w:val="00A1780E"/>
    <w:rsid w:val="00A2031A"/>
    <w:rsid w:val="00A213C6"/>
    <w:rsid w:val="00A2366E"/>
    <w:rsid w:val="00A41ABC"/>
    <w:rsid w:val="00A421D4"/>
    <w:rsid w:val="00A50484"/>
    <w:rsid w:val="00A57D00"/>
    <w:rsid w:val="00A62470"/>
    <w:rsid w:val="00A62C10"/>
    <w:rsid w:val="00A65DD9"/>
    <w:rsid w:val="00A77895"/>
    <w:rsid w:val="00A81D31"/>
    <w:rsid w:val="00A82496"/>
    <w:rsid w:val="00A85FF8"/>
    <w:rsid w:val="00A91708"/>
    <w:rsid w:val="00A94686"/>
    <w:rsid w:val="00A95877"/>
    <w:rsid w:val="00A970C6"/>
    <w:rsid w:val="00A97614"/>
    <w:rsid w:val="00AA0A84"/>
    <w:rsid w:val="00AA0DB9"/>
    <w:rsid w:val="00AA0E19"/>
    <w:rsid w:val="00AA1936"/>
    <w:rsid w:val="00AB7F2F"/>
    <w:rsid w:val="00AC2E41"/>
    <w:rsid w:val="00AC4071"/>
    <w:rsid w:val="00AD10E9"/>
    <w:rsid w:val="00AD21DC"/>
    <w:rsid w:val="00AD2AE5"/>
    <w:rsid w:val="00AE443C"/>
    <w:rsid w:val="00AE5849"/>
    <w:rsid w:val="00AF6DA3"/>
    <w:rsid w:val="00B01ED3"/>
    <w:rsid w:val="00B05157"/>
    <w:rsid w:val="00B13639"/>
    <w:rsid w:val="00B169F6"/>
    <w:rsid w:val="00B22C0A"/>
    <w:rsid w:val="00B315AB"/>
    <w:rsid w:val="00B37A60"/>
    <w:rsid w:val="00B4046A"/>
    <w:rsid w:val="00B410DE"/>
    <w:rsid w:val="00B465F1"/>
    <w:rsid w:val="00B46A0C"/>
    <w:rsid w:val="00B51FCC"/>
    <w:rsid w:val="00B5230C"/>
    <w:rsid w:val="00B578EE"/>
    <w:rsid w:val="00B61539"/>
    <w:rsid w:val="00B76489"/>
    <w:rsid w:val="00B777FC"/>
    <w:rsid w:val="00B97228"/>
    <w:rsid w:val="00BA5BC1"/>
    <w:rsid w:val="00BA6E28"/>
    <w:rsid w:val="00BA722C"/>
    <w:rsid w:val="00BB03C9"/>
    <w:rsid w:val="00BB1E26"/>
    <w:rsid w:val="00BB3CB2"/>
    <w:rsid w:val="00BC30EE"/>
    <w:rsid w:val="00BC5FDD"/>
    <w:rsid w:val="00BC6481"/>
    <w:rsid w:val="00BD0D62"/>
    <w:rsid w:val="00BD317E"/>
    <w:rsid w:val="00C01D26"/>
    <w:rsid w:val="00C02290"/>
    <w:rsid w:val="00C10540"/>
    <w:rsid w:val="00C11C58"/>
    <w:rsid w:val="00C207AD"/>
    <w:rsid w:val="00C20FAE"/>
    <w:rsid w:val="00C232E7"/>
    <w:rsid w:val="00C2482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A7C31"/>
    <w:rsid w:val="00CB5961"/>
    <w:rsid w:val="00CB793B"/>
    <w:rsid w:val="00CD04D1"/>
    <w:rsid w:val="00CD71EA"/>
    <w:rsid w:val="00CE006D"/>
    <w:rsid w:val="00D03768"/>
    <w:rsid w:val="00D10754"/>
    <w:rsid w:val="00D221A9"/>
    <w:rsid w:val="00D22D07"/>
    <w:rsid w:val="00D23E21"/>
    <w:rsid w:val="00D30422"/>
    <w:rsid w:val="00D31861"/>
    <w:rsid w:val="00D3623F"/>
    <w:rsid w:val="00D4496C"/>
    <w:rsid w:val="00D4559F"/>
    <w:rsid w:val="00D60ABE"/>
    <w:rsid w:val="00D61A3F"/>
    <w:rsid w:val="00D64B77"/>
    <w:rsid w:val="00D66F24"/>
    <w:rsid w:val="00D72111"/>
    <w:rsid w:val="00D74E2F"/>
    <w:rsid w:val="00D76E60"/>
    <w:rsid w:val="00D85315"/>
    <w:rsid w:val="00D91433"/>
    <w:rsid w:val="00D92F68"/>
    <w:rsid w:val="00D94A5B"/>
    <w:rsid w:val="00DA143B"/>
    <w:rsid w:val="00DA3419"/>
    <w:rsid w:val="00DB5BA8"/>
    <w:rsid w:val="00DD61EE"/>
    <w:rsid w:val="00DD7447"/>
    <w:rsid w:val="00DD7736"/>
    <w:rsid w:val="00DE527D"/>
    <w:rsid w:val="00DE6EF6"/>
    <w:rsid w:val="00DF1C5C"/>
    <w:rsid w:val="00DF4C79"/>
    <w:rsid w:val="00E24021"/>
    <w:rsid w:val="00E3072F"/>
    <w:rsid w:val="00E315C5"/>
    <w:rsid w:val="00E32799"/>
    <w:rsid w:val="00E34015"/>
    <w:rsid w:val="00E376A4"/>
    <w:rsid w:val="00E457BA"/>
    <w:rsid w:val="00E522CE"/>
    <w:rsid w:val="00E53A3B"/>
    <w:rsid w:val="00E65452"/>
    <w:rsid w:val="00E66F5B"/>
    <w:rsid w:val="00E73069"/>
    <w:rsid w:val="00E7681A"/>
    <w:rsid w:val="00E87573"/>
    <w:rsid w:val="00E93ACA"/>
    <w:rsid w:val="00E945BB"/>
    <w:rsid w:val="00E96C25"/>
    <w:rsid w:val="00EA1085"/>
    <w:rsid w:val="00EA55B4"/>
    <w:rsid w:val="00EB496B"/>
    <w:rsid w:val="00EB5FD4"/>
    <w:rsid w:val="00EC2650"/>
    <w:rsid w:val="00EC46F8"/>
    <w:rsid w:val="00EC5246"/>
    <w:rsid w:val="00ED13EC"/>
    <w:rsid w:val="00ED271F"/>
    <w:rsid w:val="00ED5064"/>
    <w:rsid w:val="00EE48F0"/>
    <w:rsid w:val="00EF131F"/>
    <w:rsid w:val="00EF42C1"/>
    <w:rsid w:val="00F021E9"/>
    <w:rsid w:val="00F060AC"/>
    <w:rsid w:val="00F0781D"/>
    <w:rsid w:val="00F11CB2"/>
    <w:rsid w:val="00F1220F"/>
    <w:rsid w:val="00F244D1"/>
    <w:rsid w:val="00F30092"/>
    <w:rsid w:val="00F3220E"/>
    <w:rsid w:val="00F3352A"/>
    <w:rsid w:val="00F42B6F"/>
    <w:rsid w:val="00F44007"/>
    <w:rsid w:val="00F442C3"/>
    <w:rsid w:val="00F46784"/>
    <w:rsid w:val="00F51C50"/>
    <w:rsid w:val="00F71AF5"/>
    <w:rsid w:val="00F75AB1"/>
    <w:rsid w:val="00F82FBB"/>
    <w:rsid w:val="00F85C19"/>
    <w:rsid w:val="00F86F50"/>
    <w:rsid w:val="00F96E7E"/>
    <w:rsid w:val="00FA1214"/>
    <w:rsid w:val="00FB1C5B"/>
    <w:rsid w:val="00FC019C"/>
    <w:rsid w:val="00FC6BEA"/>
    <w:rsid w:val="00FC7B44"/>
    <w:rsid w:val="00FD713B"/>
    <w:rsid w:val="00FF51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8DCBF83-3BEA-42E1-877C-C9BEFDEE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E21"/>
    <w:pPr>
      <w:spacing w:line="240" w:lineRule="auto"/>
      <w:jc w:val="both"/>
    </w:pPr>
    <w:rPr>
      <w:rFonts w:ascii="Arial" w:hAnsi="Arial"/>
    </w:rPr>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ind w:left="680" w:firstLine="851"/>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 w:type="character" w:customStyle="1" w:styleId="UnresolvedMention">
    <w:name w:val="Unresolved Mention"/>
    <w:basedOn w:val="Fuentedeprrafopredeter"/>
    <w:uiPriority w:val="99"/>
    <w:semiHidden/>
    <w:unhideWhenUsed/>
    <w:rsid w:val="00CD04D1"/>
    <w:rPr>
      <w:color w:val="605E5C"/>
      <w:shd w:val="clear" w:color="auto" w:fill="E1DFDD"/>
    </w:rPr>
  </w:style>
  <w:style w:type="table" w:styleId="Tablanormal2">
    <w:name w:val="Plain Table 2"/>
    <w:basedOn w:val="Tablanormal"/>
    <w:uiPriority w:val="42"/>
    <w:rsid w:val="00E6545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8453">
      <w:bodyDiv w:val="1"/>
      <w:marLeft w:val="0"/>
      <w:marRight w:val="0"/>
      <w:marTop w:val="0"/>
      <w:marBottom w:val="0"/>
      <w:divBdr>
        <w:top w:val="none" w:sz="0" w:space="0" w:color="auto"/>
        <w:left w:val="none" w:sz="0" w:space="0" w:color="auto"/>
        <w:bottom w:val="none" w:sz="0" w:space="0" w:color="auto"/>
        <w:right w:val="none" w:sz="0" w:space="0" w:color="auto"/>
      </w:divBdr>
    </w:div>
    <w:div w:id="327832394">
      <w:bodyDiv w:val="1"/>
      <w:marLeft w:val="0"/>
      <w:marRight w:val="0"/>
      <w:marTop w:val="0"/>
      <w:marBottom w:val="0"/>
      <w:divBdr>
        <w:top w:val="none" w:sz="0" w:space="0" w:color="auto"/>
        <w:left w:val="none" w:sz="0" w:space="0" w:color="auto"/>
        <w:bottom w:val="none" w:sz="0" w:space="0" w:color="auto"/>
        <w:right w:val="none" w:sz="0" w:space="0" w:color="auto"/>
      </w:divBdr>
    </w:div>
    <w:div w:id="406927016">
      <w:bodyDiv w:val="1"/>
      <w:marLeft w:val="0"/>
      <w:marRight w:val="0"/>
      <w:marTop w:val="0"/>
      <w:marBottom w:val="0"/>
      <w:divBdr>
        <w:top w:val="none" w:sz="0" w:space="0" w:color="auto"/>
        <w:left w:val="none" w:sz="0" w:space="0" w:color="auto"/>
        <w:bottom w:val="none" w:sz="0" w:space="0" w:color="auto"/>
        <w:right w:val="none" w:sz="0" w:space="0" w:color="auto"/>
      </w:divBdr>
    </w:div>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678431046">
      <w:bodyDiv w:val="1"/>
      <w:marLeft w:val="0"/>
      <w:marRight w:val="0"/>
      <w:marTop w:val="0"/>
      <w:marBottom w:val="0"/>
      <w:divBdr>
        <w:top w:val="none" w:sz="0" w:space="0" w:color="auto"/>
        <w:left w:val="none" w:sz="0" w:space="0" w:color="auto"/>
        <w:bottom w:val="none" w:sz="0" w:space="0" w:color="auto"/>
        <w:right w:val="none" w:sz="0" w:space="0" w:color="auto"/>
      </w:divBdr>
    </w:div>
    <w:div w:id="928735456">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67679221">
      <w:bodyDiv w:val="1"/>
      <w:marLeft w:val="0"/>
      <w:marRight w:val="0"/>
      <w:marTop w:val="0"/>
      <w:marBottom w:val="0"/>
      <w:divBdr>
        <w:top w:val="none" w:sz="0" w:space="0" w:color="auto"/>
        <w:left w:val="none" w:sz="0" w:space="0" w:color="auto"/>
        <w:bottom w:val="none" w:sz="0" w:space="0" w:color="auto"/>
        <w:right w:val="none" w:sz="0" w:space="0" w:color="auto"/>
      </w:divBdr>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04066948">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449154879">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2/lrh2.10263" TargetMode="External"/><Relationship Id="rId18" Type="http://schemas.openxmlformats.org/officeDocument/2006/relationships/hyperlink" Target="https://bit.ly/3UzS7SP" TargetMode="External"/><Relationship Id="rId26" Type="http://schemas.openxmlformats.org/officeDocument/2006/relationships/hyperlink" Target="https://bit.ly/3ZXJT8g" TargetMode="External"/><Relationship Id="rId39" Type="http://schemas.openxmlformats.org/officeDocument/2006/relationships/hyperlink" Target="https://doi.org/10.17583/remie.2017.3023" TargetMode="External"/><Relationship Id="rId21" Type="http://schemas.openxmlformats.org/officeDocument/2006/relationships/hyperlink" Target="https://bit.ly/3KQhMDn" TargetMode="External"/><Relationship Id="rId34" Type="http://schemas.openxmlformats.org/officeDocument/2006/relationships/hyperlink" Target="https://doi.org/10.1108/JWL-07-2016-0062" TargetMode="External"/><Relationship Id="rId42" Type="http://schemas.openxmlformats.org/officeDocument/2006/relationships/hyperlink" Target="https://doi.org/10.15171/rdme.2018.017"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bit.ly/3KQto9u" TargetMode="External"/><Relationship Id="rId29" Type="http://schemas.openxmlformats.org/officeDocument/2006/relationships/hyperlink" Target="https://doi.org/10.1177/2278533714551861" TargetMode="External"/><Relationship Id="rId11" Type="http://schemas.openxmlformats.org/officeDocument/2006/relationships/hyperlink" Target="https://doi.org/10.3991/ijet.v9i9.3864" TargetMode="External"/><Relationship Id="rId24" Type="http://schemas.openxmlformats.org/officeDocument/2006/relationships/hyperlink" Target="https://doi.org/10.5585/rgss.v9i2.16390" TargetMode="External"/><Relationship Id="rId32" Type="http://schemas.openxmlformats.org/officeDocument/2006/relationships/hyperlink" Target="https://doi.org/10.1186/s12913-015-1036-4" TargetMode="External"/><Relationship Id="rId37" Type="http://schemas.openxmlformats.org/officeDocument/2006/relationships/hyperlink" Target="https://doi.org/10.3390/admsci8040056" TargetMode="External"/><Relationship Id="rId40" Type="http://schemas.openxmlformats.org/officeDocument/2006/relationships/hyperlink" Target="https://doi.org/10.15760/comminfolit.2021.15.1.4" TargetMode="External"/><Relationship Id="rId45" Type="http://schemas.openxmlformats.org/officeDocument/2006/relationships/hyperlink" Target="https://doi.org/10.3233/JIFS-179329" TargetMode="External"/><Relationship Id="rId53"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hyperlink" Target="https://doi.org/10.1080/2331186X.2019.1685446" TargetMode="External"/><Relationship Id="rId19" Type="http://schemas.openxmlformats.org/officeDocument/2006/relationships/hyperlink" Target="https://bit.ly/3KNQ9tN" TargetMode="External"/><Relationship Id="rId31" Type="http://schemas.openxmlformats.org/officeDocument/2006/relationships/hyperlink" Target="https://doi.org/10.1186/s12913-015-1036-4" TargetMode="External"/><Relationship Id="rId44" Type="http://schemas.openxmlformats.org/officeDocument/2006/relationships/hyperlink" Target="https://doi.org/10.21723/riaee.v14i3.11139"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reunid.eu/" TargetMode="External"/><Relationship Id="rId14" Type="http://schemas.openxmlformats.org/officeDocument/2006/relationships/hyperlink" Target="https://doi.org/10.1371/journal.pntd.0006238" TargetMode="External"/><Relationship Id="rId22" Type="http://schemas.openxmlformats.org/officeDocument/2006/relationships/hyperlink" Target="http://www.ejkm.com" TargetMode="External"/><Relationship Id="rId27" Type="http://schemas.openxmlformats.org/officeDocument/2006/relationships/hyperlink" Target="http://www.ejkm.com" TargetMode="External"/><Relationship Id="rId30" Type="http://schemas.openxmlformats.org/officeDocument/2006/relationships/hyperlink" Target="https://doi.org/10.1186/s12913-016-1566-4" TargetMode="External"/><Relationship Id="rId35" Type="http://schemas.openxmlformats.org/officeDocument/2006/relationships/hyperlink" Target="https://doi.org/10.4102/sajim.v19i1.772" TargetMode="External"/><Relationship Id="rId43" Type="http://schemas.openxmlformats.org/officeDocument/2006/relationships/hyperlink" Target="https://bit.ly/41faOhn"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numbering" Target="numbering.xml"/><Relationship Id="rId12" Type="http://schemas.openxmlformats.org/officeDocument/2006/relationships/hyperlink" Target="https://doi.org/10.1186/s12961-020-00603-y" TargetMode="External"/><Relationship Id="rId17" Type="http://schemas.openxmlformats.org/officeDocument/2006/relationships/hyperlink" Target="https://bit.ly/41lLUfm" TargetMode="External"/><Relationship Id="rId25" Type="http://schemas.openxmlformats.org/officeDocument/2006/relationships/hyperlink" Target="https://doi.org/10.5944/ried.21.2.20605" TargetMode="External"/><Relationship Id="rId33" Type="http://schemas.openxmlformats.org/officeDocument/2006/relationships/hyperlink" Target="https://doi.org/10.1002/jcop.22435" TargetMode="External"/><Relationship Id="rId38" Type="http://schemas.openxmlformats.org/officeDocument/2006/relationships/hyperlink" Target="https://doi.org/10.1186/s13012-017-0622-8" TargetMode="External"/><Relationship Id="rId46" Type="http://schemas.openxmlformats.org/officeDocument/2006/relationships/hyperlink" Target="https://doi.org/10.2196/jmir.8325" TargetMode="External"/><Relationship Id="rId20" Type="http://schemas.openxmlformats.org/officeDocument/2006/relationships/hyperlink" Target="https://bit.ly/3zUHoZu" TargetMode="External"/><Relationship Id="rId41" Type="http://schemas.openxmlformats.org/officeDocument/2006/relationships/hyperlink" Target="http://livre21.com/LIVREF/F34/F034080.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oi.org/10.2196/mededu.5318" TargetMode="External"/><Relationship Id="rId23" Type="http://schemas.openxmlformats.org/officeDocument/2006/relationships/hyperlink" Target="https://doi.org/10.24215/18509959.25.e02" TargetMode="External"/><Relationship Id="rId28" Type="http://schemas.openxmlformats.org/officeDocument/2006/relationships/hyperlink" Target="https://doi.org/10.14201/eks.22715" TargetMode="External"/><Relationship Id="rId36" Type="http://schemas.openxmlformats.org/officeDocument/2006/relationships/hyperlink" Target="https://doi.org/10.1515/ijm-2016-0012" TargetMode="External"/><Relationship Id="rId4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retosdelacienciaec.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3-4656-7953" TargetMode="External"/><Relationship Id="rId1" Type="http://schemas.openxmlformats.org/officeDocument/2006/relationships/hyperlink" Target="mailto:sandra.valbuena@unimilitar.edu.co"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s://creativecommons.org/licenses/by/4.0/" TargetMode="External"/><Relationship Id="rId2" Type="http://schemas.openxmlformats.org/officeDocument/2006/relationships/hyperlink" Target="http://www.retosdelacienciaec.com" TargetMode="External"/><Relationship Id="rId1" Type="http://schemas.openxmlformats.org/officeDocument/2006/relationships/hyperlink" Target="http://www.retosdelacienciaec.com" TargetMode="External"/><Relationship Id="rId5" Type="http://schemas.openxmlformats.org/officeDocument/2006/relationships/image" Target="media/image2.jpeg"/><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82EA442FEB48E3B2AE0175BC9BA2ED"/>
        <w:category>
          <w:name w:val="Général"/>
          <w:gallery w:val="placeholder"/>
        </w:category>
        <w:types>
          <w:type w:val="bbPlcHdr"/>
        </w:types>
        <w:behaviors>
          <w:behavior w:val="content"/>
        </w:behaviors>
        <w:guid w:val="{B37B058A-0035-4160-B286-85D42CA45E3C}"/>
      </w:docPartPr>
      <w:docPartBody>
        <w:p w:rsidR="000A0779" w:rsidRDefault="00624192" w:rsidP="00624192">
          <w:pPr>
            <w:pStyle w:val="7282EA442FEB48E3B2AE0175BC9BA2ED"/>
          </w:pPr>
          <w:r w:rsidRPr="00663817">
            <w:rPr>
              <w:rStyle w:val="Textodelmarcadordeposicin"/>
            </w:rPr>
            <w:t>Cliquez ou appuyez ici pour entrer du texte.</w:t>
          </w:r>
        </w:p>
      </w:docPartBody>
    </w:docPart>
    <w:docPart>
      <w:docPartPr>
        <w:name w:val="3DD424BAC50A40CD9E7D9120EEA1EB05"/>
        <w:category>
          <w:name w:val="Général"/>
          <w:gallery w:val="placeholder"/>
        </w:category>
        <w:types>
          <w:type w:val="bbPlcHdr"/>
        </w:types>
        <w:behaviors>
          <w:behavior w:val="content"/>
        </w:behaviors>
        <w:guid w:val="{485447C5-20E7-4626-A491-E3E1C39E8CD1}"/>
      </w:docPartPr>
      <w:docPartBody>
        <w:p w:rsidR="000A0779" w:rsidRDefault="00624192" w:rsidP="00624192">
          <w:pPr>
            <w:pStyle w:val="3DD424BAC50A40CD9E7D9120EEA1EB05"/>
          </w:pPr>
          <w:r w:rsidRPr="00663817">
            <w:rPr>
              <w:rStyle w:val="Textodelmarcadordeposicin"/>
            </w:rPr>
            <w:t>Cliquez ou appuyez ici pour entrer du texte.</w:t>
          </w:r>
        </w:p>
      </w:docPartBody>
    </w:docPart>
    <w:docPart>
      <w:docPartPr>
        <w:name w:val="B20CF550CBCA4806997BE1819F767C90"/>
        <w:category>
          <w:name w:val="Général"/>
          <w:gallery w:val="placeholder"/>
        </w:category>
        <w:types>
          <w:type w:val="bbPlcHdr"/>
        </w:types>
        <w:behaviors>
          <w:behavior w:val="content"/>
        </w:behaviors>
        <w:guid w:val="{650E359B-601D-4674-AF74-571EE80F320E}"/>
      </w:docPartPr>
      <w:docPartBody>
        <w:p w:rsidR="000A0779" w:rsidRDefault="00624192" w:rsidP="00624192">
          <w:pPr>
            <w:pStyle w:val="B20CF550CBCA4806997BE1819F767C90"/>
          </w:pPr>
          <w:r w:rsidRPr="00663817">
            <w:rPr>
              <w:rStyle w:val="Textodelmarcadordeposicin"/>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B2B4CD66-3A0F-417C-A1A2-1DACDC3CB75D}"/>
      </w:docPartPr>
      <w:docPartBody>
        <w:p w:rsidR="000A0779" w:rsidRDefault="00624192">
          <w:r w:rsidRPr="002F04DD">
            <w:rPr>
              <w:rStyle w:val="Textodelmarcadordeposicin"/>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rasITCbyBT-Light">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92"/>
    <w:rsid w:val="000A0779"/>
    <w:rsid w:val="004F721D"/>
    <w:rsid w:val="00624192"/>
    <w:rsid w:val="00B239EB"/>
    <w:rsid w:val="00C44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24192"/>
    <w:rPr>
      <w:color w:val="808080"/>
    </w:rPr>
  </w:style>
  <w:style w:type="paragraph" w:customStyle="1" w:styleId="7282EA442FEB48E3B2AE0175BC9BA2ED">
    <w:name w:val="7282EA442FEB48E3B2AE0175BC9BA2ED"/>
    <w:rsid w:val="00624192"/>
  </w:style>
  <w:style w:type="paragraph" w:customStyle="1" w:styleId="3DD424BAC50A40CD9E7D9120EEA1EB05">
    <w:name w:val="3DD424BAC50A40CD9E7D9120EEA1EB05"/>
    <w:rsid w:val="00624192"/>
  </w:style>
  <w:style w:type="paragraph" w:customStyle="1" w:styleId="B20CF550CBCA4806997BE1819F767C90">
    <w:name w:val="B20CF550CBCA4806997BE1819F767C90"/>
    <w:rsid w:val="006241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70E4A72-4A52-474A-95A6-D4B6A99DC7EC}">
  <we:reference id="wa104382081" version="1.46.0.0" store="fr-FR" storeType="OMEX"/>
  <we:alternateReferences>
    <we:reference id="WA104382081" version="1.46.0.0" store="" storeType="OMEX"/>
  </we:alternateReferences>
  <we:properties>
    <we:property name="MENDELEY_CITATIONS" value="[{&quot;citationID&quot;:&quot;MENDELEY_CITATION_a5b4d3cd-d14c-4c83-8e35-2e0b5fce939b&quot;,&quot;properties&quot;:{&quot;noteIndex&quot;:0},&quot;isEdited&quot;:false,&quot;manualOverride&quot;:{&quot;isManuallyOverridden&quot;:false,&quot;citeprocText&quot;:&quot;(Wenger, 1998)&quot;,&quot;manualOverrideText&quot;:&quot;&quot;},&quot;citationTag&quot;:&quot;MENDELEY_CITATION_v3_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&quot;,&quot;citationItems&quot;:[{&quot;id&quot;:&quot;f4daa4d9-d9ac-3c6c-97e2-abc31399dfee&quot;,&quot;itemData&quot;:{&quot;type&quot;:&quot;report&quot;,&quot;id&quot;:&quot;f4daa4d9-d9ac-3c6c-97e2-abc31399dfee&quot;,&quot;title&quot;:&quot;Communities of Practice: Learning as a social system&quot;,&quot;author&quot;:[{&quot;family&quot;:&quot;Wenger&quot;,&quot;given&quot;:&quot;Etienne&quot;,&quot;parse-names&quot;:false,&quot;dropping-particle&quot;:&quot;&quot;,&quot;non-dropping-particle&quot;:&quot;&quot;}],&quot;accessed&quot;:{&quot;date-parts&quot;:[[2021,11,9]]},&quot;URL&quot;:&quot;https://participativelearning.org/pluginfile.php/636/mod_resource/content/3/Learningasasocialsystem.pdf&quot;,&quot;issued&quot;:{&quot;date-parts&quot;:[[1998]]},&quot;container-title-short&quot;:&quot;&quot;},&quot;isTemporary&quot;:false}]},{&quot;citationID&quot;:&quot;MENDELEY_CITATION_4378f375-a27a-4958-ba39-d690911e5bcb&quot;,&quot;properties&quot;:{&quot;noteIndex&quot;:0},&quot;isEdited&quot;:false,&quot;manualOverride&quot;:{&quot;isManuallyOverridden&quot;:true,&quot;citeprocText&quot;:&quot;(Martínez-Bravo et al., 2018)&quot;,&quot;manualOverrideText&quot;:&quot;(Martínez-Bravo et al., 2018; Ogbamichael &amp; Warden, 2018)&quot;},&quot;citationTag&quot;:&quot;MENDELEY_CITATION_v3_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&quot;,&quot;citationItems&quot;:[{&quot;id&quot;:&quot;418ce047-9430-3151-a8e0-458ac22f3987&quot;,&quot;itemData&quot;:{&quot;type&quot;:&quot;article-journal&quot;,&quot;id&quot;:&quot;418ce047-9430-3151-a8e0-458ac22f3987&quot;,&quot;title&quot;:&quot;Desarrollo de competencias digitales en comunidades virtuales: una análisis de ScolarTIC&quot;,&quot;author&quot;:[{&quot;family&quot;:&quot;Martínez-Bravo&quot;,&quot;given&quot;:&quot;Maria Cristina&quot;,&quot;parse-names&quot;:false,&quot;dropping-particle&quot;:&quot;&quot;,&quot;non-dropping-particle&quot;:&quot;&quot;},{&quot;family&quot;:&quot;Chalezquer Sádaba&quot;,&quot;given&quot;:&quot;Charo&quot;,&quot;parse-names&quot;:false,&quot;dropping-particle&quot;:&quot;&quot;,&quot;non-dropping-particle&quot;:&quot;&quot;},{&quot;family&quot;:&quot;Serrano Puche&quot;,&quot;given&quot;:&quot;Javier&quot;,&quot;parse-names&quot;:false,&quot;dropping-particle&quot;:&quot;&quot;,&quot;non-dropping-particle&quot;:&quot;&quot;}],&quot;container-title&quot;:&quot;Prisma Social&quot;,&quot;issued&quot;:{&quot;date-parts&quot;:[[2018]]},&quot;page&quot;:&quot;129-159&quot;,&quot;issue&quot;:&quot;20&quot;,&quot;container-title-short&quot;:&quot;&quot;},&quot;isTemporary&quot;:false}]},{&quot;citationID&quot;:&quot;MENDELEY_CITATION_01d14305-b420-4134-95a2-80f1c2f3c8b3&quot;,&quot;properties&quot;:{&quot;noteIndex&quot;:0},&quot;isEdited&quot;:false,&quot;manualOverride&quot;:{&quot;isManuallyOverridden&quot;:false,&quot;citeprocText&quot;:&quot;(Cáceres García &amp;#38; Cáceres Albornoz, 2022)&quot;,&quot;manualOverrideText&quot;:&quot;&quot;},&quot;citationTag&quot;:&quot;MENDELEY_CITATION_v3_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&quot;,&quot;citationItems&quot;:[{&quot;id&quot;:&quot;c4d88358-256c-3cf7-8041-05c130086881&quot;,&quot;itemData&quot;:{&quot;type&quot;:&quot;article-journal&quot;,&quot;id&quot;:&quot;c4d88358-256c-3cf7-8041-05c130086881&quot;,&quot;title&quot;:&quot;Responsabilidad social universitaria: percepción en estudiantes de Posgrado Facultad de Ciencias Administrativas Universidad Central del Ecuador&quot;,&quot;author&quot;:[{&quot;family&quot;:&quot;Cáceres García&quot;,&quot;given&quot;:&quot;Nelson Gustavo&quot;,&quot;parse-names&quot;:false,&quot;dropping-particle&quot;:&quot;&quot;,&quot;non-dropping-particle&quot;:&quot;&quot;},{&quot;family&quot;:&quot;Cáceres Albornoz&quot;,&quot;given&quot;:&quot;Gustavo Andrés&quot;,&quot;parse-names&quot;:false,&quot;dropping-particle&quot;:&quot;&quot;,&quot;non-dropping-particle&quot;:&quot;&quot;}],&quot;container-title&quot;:&quot;Revista científica retos de la ciencia&quot;,&quot;DOI&quot;:&quot;https://doi.org/10.53877/rc.6.13.20220701.06&quot;,&quot;issued&quot;:{&quot;date-parts&quot;:[[2022]]},&quot;page&quot;:&quot;66-80&quot;,&quot;issue&quot;:&quot;13&quot;,&quot;volume&quot;:&quot;6&quot;,&quot;container-title-short&quot;:&quot;&quot;},&quot;isTemporary&quot;:false}]},{&quot;citationID&quot;:&quot;MENDELEY_CITATION_32dfb7ef-0f30-4c65-86ba-2b8efdec1a3b&quot;,&quot;properties&quot;:{&quot;noteIndex&quot;:0},&quot;isEdited&quot;:false,&quot;manualOverride&quot;:{&quot;isManuallyOverridden&quot;:false,&quot;citeprocText&quot;:&quot;(Suárez Caimary et al., 2022)&quot;,&quot;manualOverrideText&quot;:&quot;&quot;},&quot;citationTag&quot;:&quot;MENDELEY_CITATION_v3_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&quot;,&quot;citationItems&quot;:[{&quot;id&quot;:&quot;576b0b17-9242-3539-b3bc-90b5591aab37&quot;,&quot;itemData&quot;:{&quot;type&quot;:&quot;article-journal&quot;,&quot;id&quot;:&quot;576b0b17-9242-3539-b3bc-90b5591aab37&quot;,&quot;title&quot;:&quot;El sistema de comunicación integrado a los sistemas de gestión en el contexto organizacional&quot;,&quot;author&quot;:[{&quot;family&quot;:&quot;Suárez Caimary&quot;,&quot;given&quot;:&quot;Isis Leonor&quot;,&quot;parse-names&quot;:false,&quot;dropping-particle&quot;:&quot;&quot;,&quot;non-dropping-particle&quot;:&quot;&quot;},{&quot;family&quot;:&quot;Bermejo Salmón&quot;,&quot;given&quot;:&quot;Marianela&quot;,&quot;parse-names&quot;:false,&quot;dropping-particle&quot;:&quot;&quot;,&quot;non-dropping-particle&quot;:&quot;&quot;},{&quot;family&quot;:&quot;Charón Durive&quot;,&quot;given&quot;:&quot;Leonardo&quot;,&quot;parse-names&quot;:false,&quot;dropping-particle&quot;:&quot;&quot;,&quot;non-dropping-particle&quot;:&quot;&quot;}],&quot;container-title&quot;:&quot;Revista científica retos de la ciencia&quot;,&quot;DOI&quot;:&quot;10.53877/rc.6.12.20220101.05&quot;,&quot;ISSN&quot;:&quot;2602-8247&quot;,&quot;URL&quot;:&quot;http://retosdelacienciaec.com/https://orcid.org/0000-0002-6125-3912cu/https://orcid.org/0000-0001-6217-6480&quot;,&quot;issued&quot;:{&quot;date-parts&quot;:[[2022]]},&quot;page&quot;:&quot;51-61&quot;,&quot;abstract&quot;:&quot;RESUMEN La comunicación organizacional contribuye al cumplimiento de las funciones, tareas y/o actividades del puesto de trabajo en lo individual y en la general, a la coordinación del conjunto de actividades que se desarrollan en las entidades para la consecución de los resultados previstos. El presente trabajo tiene como objetivo la propuesta de un procedimiento para el diagnóstico y diseño del sistema de comunicación, integrada al sistema de dirección y gestión con enfoque estratégico. La metodología fue aplicada y validada en dos organizaciones de Santiago de Cuba con resultados satisfactorios. Se emplean diferentes técnicas y herramientas de investigación, que combinan el enfoque cuantitativo con el cualitativo, entre las que se encuentran:&quot;,&quot;issue&quot;:&quot;12&quot;,&quot;volume&quot;:&quot;6&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C15235-35FB-4144-BF64-0653E1A14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14</Pages>
  <Words>6905</Words>
  <Characters>39365</Characters>
  <Application>Microsoft Office Word</Application>
  <DocSecurity>0</DocSecurity>
  <Lines>328</Lines>
  <Paragraphs>92</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FUND</vt:lpstr>
      <vt:lpstr>FUND</vt:lpstr>
    </vt:vector>
  </TitlesOfParts>
  <Company/>
  <LinksUpToDate>false</LinksUpToDate>
  <CharactersWithSpaces>46178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65</cp:revision>
  <cp:lastPrinted>2023-05-22T03:07:00Z</cp:lastPrinted>
  <dcterms:created xsi:type="dcterms:W3CDTF">2022-03-01T03:34:00Z</dcterms:created>
  <dcterms:modified xsi:type="dcterms:W3CDTF">2023-05-22T03:08:00Z</dcterms:modified>
</cp:coreProperties>
</file>